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FC" w:rsidRPr="002F11FC" w:rsidRDefault="002F11FC" w:rsidP="002F11FC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Экзаменационные вопросы для  </w:t>
      </w:r>
      <w:r w:rsidR="00EE393F">
        <w:rPr>
          <w:rFonts w:ascii="Times New Roman" w:hAnsi="Times New Roman" w:cs="Times New Roman"/>
          <w:b/>
          <w:color w:val="000000"/>
          <w:sz w:val="24"/>
          <w:szCs w:val="24"/>
        </w:rPr>
        <w:t>ординаторов</w:t>
      </w:r>
      <w:r w:rsidRPr="002F11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специальности:</w:t>
      </w:r>
    </w:p>
    <w:p w:rsidR="002F11FC" w:rsidRPr="002F11FC" w:rsidRDefault="002F11FC" w:rsidP="002F11FC">
      <w:pPr>
        <w:shd w:val="clear" w:color="auto" w:fill="FFFFFF"/>
        <w:tabs>
          <w:tab w:val="left" w:leader="underscore" w:pos="85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1FC">
        <w:rPr>
          <w:rFonts w:ascii="Times New Roman" w:hAnsi="Times New Roman" w:cs="Times New Roman"/>
          <w:b/>
          <w:color w:val="000000"/>
          <w:sz w:val="24"/>
          <w:szCs w:val="24"/>
        </w:rPr>
        <w:t>«Клиническая лабораторная диагностика»</w:t>
      </w:r>
    </w:p>
    <w:p w:rsidR="00B358A1" w:rsidRDefault="00B358A1" w:rsidP="002F11FC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Белковообраовательная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функция печени. Лабораторная диагностика нарушений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белковообразовательной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функции печени. Плазменные белки печеночного происхождения. Альбумин плазмы крови: его свойства и функции.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 xml:space="preserve">Белки острой фазы: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С-реактивный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белок в норме и патологии.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Гаптоглобин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плазмы крови. Физиологическая роль, диагностическое значение определения уровня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гаптоглобинов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в сыворотке крови.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Церулоплазмин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сыворотки крови: физиологическая роль, диагностическое значение определения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церулоплазмина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в сыворотке крови.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 xml:space="preserve">Низкомолекулярные азотсодержащие соединения крови. Азотемия, уремия,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креатининемия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 – биохимические симптомы ХПН. Лабораторная диагностика нарушений фильтрационной способности почек.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 xml:space="preserve">Глюкоза крови в норме и при сахарном диабете.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кетонурия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. Причины развития, типы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глюкозурии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>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>Лабораторная диагностика нарушенной толерантности к глюкозе.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 xml:space="preserve">Лабораторная диагностика инфаркта миокарда; ранние и поздние </w:t>
      </w:r>
      <w:proofErr w:type="spellStart"/>
      <w:r w:rsidRPr="00B358A1">
        <w:rPr>
          <w:rFonts w:ascii="Times New Roman" w:hAnsi="Times New Roman" w:cs="Times New Roman"/>
          <w:snapToGrid w:val="0"/>
          <w:sz w:val="24"/>
          <w:szCs w:val="24"/>
        </w:rPr>
        <w:t>миокардиальные</w:t>
      </w:r>
      <w:proofErr w:type="spellEnd"/>
      <w:r w:rsidRPr="00B358A1">
        <w:rPr>
          <w:rFonts w:ascii="Times New Roman" w:hAnsi="Times New Roman" w:cs="Times New Roman"/>
          <w:snapToGrid w:val="0"/>
          <w:sz w:val="24"/>
          <w:szCs w:val="24"/>
        </w:rPr>
        <w:t xml:space="preserve">  маркеры, клиническая интерпретация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Липопротеины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  (ЛПОНП, ЛПНП, ЛПВП) плазмы крови: биосинтез, транспорт, метаболизм, физиологическая роль. Лабораторная диагностика нарушений липопротеинового обмена.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>Обмен кальция, его регуляция,  нарушения и лабораторная диагностика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>Обмен фосфора, его регуляция,  нарушения и лабораторная диагностика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>Фазы и стадии обмена билирубина в организме. Лабораторная диагностика нарушений обмена билирубина.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>Печеночные желтухи (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неконъюгированные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, конъюгированные, смешанные).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Гепатоканаликулярные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и гепатоцеллюлярные желтухи - лабораторная дифференциальная диагностика.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Постпеченочные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желтухи;  лабораторная диагностика.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Допеченочные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желтухи: причины, лабораторная диагностика.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 xml:space="preserve">Метаболизм костной ткани, нарушения, лабораторная диагностика.  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 xml:space="preserve">Регуляция кислотно-основного баланса, роль дыхательной системы и почек в этом процессе. Буферные системы крови. 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 xml:space="preserve">Гематокрит. Методы определения. Диагностическое значение в клинике. Методы расчета среднего объема эритроцитов. Гемоглобин, методы определения его содержания в крови. Расчет среднего содержания гемоглобина в эритроците (МСН). Расчет средней концентрации гемоглобина в эритроцитах (МСНС). 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B358A1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12</w:t>
      </w:r>
      <w:r w:rsidRPr="00B358A1">
        <w:rPr>
          <w:rFonts w:ascii="Times New Roman" w:hAnsi="Times New Roman" w:cs="Times New Roman"/>
          <w:snapToGrid w:val="0"/>
          <w:sz w:val="24"/>
          <w:szCs w:val="24"/>
        </w:rPr>
        <w:t xml:space="preserve"> – дефицитные анемии, картина крови. 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B358A1">
        <w:rPr>
          <w:rFonts w:ascii="Times New Roman" w:hAnsi="Times New Roman" w:cs="Times New Roman"/>
          <w:snapToGrid w:val="0"/>
          <w:sz w:val="24"/>
          <w:szCs w:val="24"/>
        </w:rPr>
        <w:t>Апластические</w:t>
      </w:r>
      <w:proofErr w:type="spellEnd"/>
      <w:r w:rsidRPr="00B358A1">
        <w:rPr>
          <w:rFonts w:ascii="Times New Roman" w:hAnsi="Times New Roman" w:cs="Times New Roman"/>
          <w:snapToGrid w:val="0"/>
          <w:sz w:val="24"/>
          <w:szCs w:val="24"/>
        </w:rPr>
        <w:t xml:space="preserve"> и гипопластические анемии. Методы лабораторной диагностики.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 xml:space="preserve">Обмен железа в организме: распределение, потребности, источники, всасывание в желудочно-кишечном тракте. </w:t>
      </w:r>
      <w:r w:rsidRPr="00B358A1">
        <w:rPr>
          <w:rFonts w:ascii="Times New Roman" w:hAnsi="Times New Roman" w:cs="Times New Roman"/>
          <w:snapToGrid w:val="0"/>
          <w:sz w:val="24"/>
          <w:szCs w:val="24"/>
        </w:rPr>
        <w:t>Железодефицитные анемии. Картина крови. Методы лабораторной диагностики.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 xml:space="preserve">Транспорт и депонирование железа в организме: характеристика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ферритина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трансферрина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. Клиническое значение определения ОЖСС и 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ферритина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в крови. Лабораторная диагностика нарушений транспорта и депонирование железа.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>Гемолитические анемии. Классификация, этиология, патогенез, картина крови. Методы лабораторной диагностики.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>Лейкопении, виды, методы лабораторной диагностики, диагностическое значение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B358A1">
        <w:rPr>
          <w:rFonts w:ascii="Times New Roman" w:hAnsi="Times New Roman" w:cs="Times New Roman"/>
          <w:snapToGrid w:val="0"/>
          <w:sz w:val="24"/>
          <w:szCs w:val="24"/>
        </w:rPr>
        <w:t>Лейкоформула</w:t>
      </w:r>
      <w:proofErr w:type="spellEnd"/>
      <w:r w:rsidRPr="00B358A1">
        <w:rPr>
          <w:rFonts w:ascii="Times New Roman" w:hAnsi="Times New Roman" w:cs="Times New Roman"/>
          <w:snapToGrid w:val="0"/>
          <w:sz w:val="24"/>
          <w:szCs w:val="24"/>
        </w:rPr>
        <w:t xml:space="preserve"> в норме и патологии. Лейкоцитозы, виды, диагностическое значение. Сдвиги лейкоцитарной формулы. </w:t>
      </w:r>
      <w:proofErr w:type="spellStart"/>
      <w:r w:rsidRPr="00B358A1">
        <w:rPr>
          <w:rFonts w:ascii="Times New Roman" w:hAnsi="Times New Roman" w:cs="Times New Roman"/>
          <w:snapToGrid w:val="0"/>
          <w:sz w:val="24"/>
          <w:szCs w:val="24"/>
        </w:rPr>
        <w:t>Эозинофилия</w:t>
      </w:r>
      <w:proofErr w:type="spellEnd"/>
      <w:r w:rsidRPr="00B358A1">
        <w:rPr>
          <w:rFonts w:ascii="Times New Roman" w:hAnsi="Times New Roman" w:cs="Times New Roman"/>
          <w:snapToGrid w:val="0"/>
          <w:sz w:val="24"/>
          <w:szCs w:val="24"/>
        </w:rPr>
        <w:t xml:space="preserve">. Клиническая интерпретация. </w:t>
      </w:r>
      <w:proofErr w:type="spellStart"/>
      <w:r w:rsidRPr="00B358A1">
        <w:rPr>
          <w:rFonts w:ascii="Times New Roman" w:hAnsi="Times New Roman" w:cs="Times New Roman"/>
          <w:snapToGrid w:val="0"/>
          <w:sz w:val="24"/>
          <w:szCs w:val="24"/>
        </w:rPr>
        <w:t>Лейкемоидная</w:t>
      </w:r>
      <w:proofErr w:type="spellEnd"/>
      <w:r w:rsidRPr="00B358A1">
        <w:rPr>
          <w:rFonts w:ascii="Times New Roman" w:hAnsi="Times New Roman" w:cs="Times New Roman"/>
          <w:snapToGrid w:val="0"/>
          <w:sz w:val="24"/>
          <w:szCs w:val="24"/>
        </w:rPr>
        <w:t xml:space="preserve"> реакция, понятие, лабораторная дифференциальная диагностика.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Классификация лейкозов. Острые лейкозы, картины крови, методы лабораторной диагностики, значение цитохимических методов исследования в диагностике лейкозов. 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B358A1">
        <w:rPr>
          <w:rFonts w:ascii="Times New Roman" w:hAnsi="Times New Roman" w:cs="Times New Roman"/>
          <w:snapToGrid w:val="0"/>
          <w:sz w:val="24"/>
          <w:szCs w:val="24"/>
        </w:rPr>
        <w:t>Миелодиспластический</w:t>
      </w:r>
      <w:proofErr w:type="spellEnd"/>
      <w:r w:rsidRPr="00B358A1">
        <w:rPr>
          <w:rFonts w:ascii="Times New Roman" w:hAnsi="Times New Roman" w:cs="Times New Roman"/>
          <w:snapToGrid w:val="0"/>
          <w:sz w:val="24"/>
          <w:szCs w:val="24"/>
        </w:rPr>
        <w:t xml:space="preserve"> синдром, определение, классификация, картина крови, лабораторная дифференциальная диагностика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>Воспаление. Сущность процесса. Виды воспалительных реакций. Цитологическая диагностика воспаления (острого, хронического, гранулематозного).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>Влагалищный мазок. Цитологические картины при нормальном состоянии половых органов здоровой женщины и при воспалительных процессах.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 xml:space="preserve">Злокачественные опухоли. Гистологические и цитологические критерии злокачественности. Алгоритм цитологической диагностики злокачественных опухолей. 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>Исследование плеврального выпота и асцитической жидкости. Цитологическая диагностика воспалительных процессов и злокачественных метастатических поражений серозных оболочек.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 xml:space="preserve">Возможные ошибки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преаналитического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и аналитического этапов лабораторного исследования.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Внутрилабораторный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контроль качества исследований: методы, организация внутреннего контроля.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>Контрольные материалы, их характеристика.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 xml:space="preserve">Управление качеством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внутрилабораторного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 xml:space="preserve">Лимфоциты. Их роль в организме. </w:t>
      </w:r>
      <w:r w:rsidRPr="00B358A1">
        <w:rPr>
          <w:rFonts w:ascii="Times New Roman" w:hAnsi="Times New Roman" w:cs="Times New Roman"/>
          <w:sz w:val="24"/>
          <w:szCs w:val="24"/>
        </w:rPr>
        <w:t>Лабораторные методы  исследования иммунной системы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 xml:space="preserve">Методы определения показателей гуморального иммунитета, их диагностическое значение. Клиническое значение показателей гуморального иммунитета. 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>Методы определения показателей клеточного иммунитета, их диагностическое значение. Клиническое значение показателей клеточного иммунитета.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>Т и В системы иммунитета лабораторная диагностика их состояния, диагностическое значение.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 xml:space="preserve">Иммуноглобулины. Их роль в организме. Оценка нарушений иммунитета. </w:t>
      </w:r>
      <w:r w:rsidRPr="00B358A1">
        <w:rPr>
          <w:rFonts w:ascii="Times New Roman" w:hAnsi="Times New Roman" w:cs="Times New Roman"/>
          <w:sz w:val="24"/>
          <w:szCs w:val="24"/>
        </w:rPr>
        <w:t xml:space="preserve">Вторичные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иммунодефицитные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состояния, подходы к диагностике. Оценка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иммунограммы</w:t>
      </w:r>
      <w:proofErr w:type="spellEnd"/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>Иммунологическая диагностика воспалительных и инфекционных заболеваний.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 xml:space="preserve">Неспецифические факторы защиты организма. Лабораторная диагностика. 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 xml:space="preserve">Понятие об аутоиммунных заболеваниях. Лабораторная диагностика аутоиммунных заболеваний. 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 xml:space="preserve">Гомеостатические функции почек. Лабораторная диагностика нарушений выделительной функции почек. </w:t>
      </w:r>
      <w:r w:rsidRPr="00B358A1">
        <w:rPr>
          <w:rFonts w:ascii="Times New Roman" w:hAnsi="Times New Roman" w:cs="Times New Roman"/>
          <w:snapToGrid w:val="0"/>
          <w:sz w:val="24"/>
          <w:szCs w:val="24"/>
        </w:rPr>
        <w:t>Диагностическая оценка химического исследования мочи: протеинурия, как важный  лабораторный симптом, типы протеинурии.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>Физико-химическое исследование мочи: диурез, относительная плотность, реакция мочи, их диагностическое значение.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z w:val="24"/>
          <w:szCs w:val="24"/>
        </w:rPr>
        <w:t>Микроскопическое исследование осадка мочи. Количественные методы исследования организованного осадка мочи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 xml:space="preserve">Исследование желудочной секреции – стимуляторы, методы исследования, интерпретация. 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>Исследование желчи. Клинико-диагностическое значение.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 xml:space="preserve">Кал, его формирование. Анализ кала. Клинико-диагностическое значение. 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>Исследование ликвора. Клинико-диагностическое значение.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 xml:space="preserve">Лабораторная диагностика заболеваний желудочно-кишечного тракта, клиническое значение. 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>3аболевания, передающиеся половым путем. Методы лабораторной диагностики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 xml:space="preserve">Гонорея. Характеристика возбудителя, пути заражения, лабораторная диагностика. 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>Трихомониаз. Характеристика возбудителя, пути заражения, лабораторная диагностика.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Бактериальный </w:t>
      </w:r>
      <w:proofErr w:type="spellStart"/>
      <w:r w:rsidRPr="00B358A1">
        <w:rPr>
          <w:rFonts w:ascii="Times New Roman" w:hAnsi="Times New Roman" w:cs="Times New Roman"/>
          <w:snapToGrid w:val="0"/>
          <w:sz w:val="24"/>
          <w:szCs w:val="24"/>
        </w:rPr>
        <w:t>вагиноз</w:t>
      </w:r>
      <w:proofErr w:type="spellEnd"/>
      <w:r w:rsidRPr="00B358A1">
        <w:rPr>
          <w:rFonts w:ascii="Times New Roman" w:hAnsi="Times New Roman" w:cs="Times New Roman"/>
          <w:snapToGrid w:val="0"/>
          <w:sz w:val="24"/>
          <w:szCs w:val="24"/>
        </w:rPr>
        <w:t>. Этиология, патогенез, клинические проявления, лабораторная диагностика.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 xml:space="preserve">Сифилис. Классификация. Лабораторная диагностика. 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napToGrid w:val="0"/>
          <w:sz w:val="24"/>
          <w:szCs w:val="24"/>
        </w:rPr>
      </w:pPr>
      <w:r w:rsidRPr="00B358A1">
        <w:rPr>
          <w:rFonts w:ascii="Times New Roman" w:hAnsi="Times New Roman" w:cs="Times New Roman"/>
          <w:snapToGrid w:val="0"/>
          <w:sz w:val="24"/>
          <w:szCs w:val="24"/>
        </w:rPr>
        <w:t>Методы лабораторной диагностики нарушений свертывания крови, их диагностическое значение.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B358A1">
        <w:rPr>
          <w:rFonts w:ascii="Times New Roman" w:hAnsi="Times New Roman" w:cs="Times New Roman"/>
          <w:sz w:val="24"/>
          <w:szCs w:val="24"/>
        </w:rPr>
        <w:t>Сосудисто-тромбоцитарный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гемостаз,  его нарушения. Методы лабораторного исследования.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Коагуляционный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гемостаз. Нарушения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коагуляционного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гемостаза. Лабораторная диагностика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Антикоагулянтная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система, методы исследования.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B358A1">
        <w:rPr>
          <w:rFonts w:ascii="Times New Roman" w:hAnsi="Times New Roman" w:cs="Times New Roman"/>
          <w:sz w:val="24"/>
          <w:szCs w:val="24"/>
        </w:rPr>
        <w:t>Фибринолитическая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 система, маркеры </w:t>
      </w:r>
      <w:proofErr w:type="spellStart"/>
      <w:r w:rsidRPr="00B358A1">
        <w:rPr>
          <w:rFonts w:ascii="Times New Roman" w:hAnsi="Times New Roman" w:cs="Times New Roman"/>
          <w:sz w:val="24"/>
          <w:szCs w:val="24"/>
        </w:rPr>
        <w:t>фибринолиза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5351" w:rsidRPr="00B358A1" w:rsidRDefault="00CE5351" w:rsidP="00A73EBC">
      <w:pPr>
        <w:widowControl/>
        <w:numPr>
          <w:ilvl w:val="0"/>
          <w:numId w:val="1"/>
        </w:numPr>
        <w:tabs>
          <w:tab w:val="num" w:pos="0"/>
        </w:tabs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proofErr w:type="spellStart"/>
      <w:r w:rsidRPr="00B358A1">
        <w:rPr>
          <w:rFonts w:ascii="Times New Roman" w:hAnsi="Times New Roman" w:cs="Times New Roman"/>
          <w:sz w:val="24"/>
          <w:szCs w:val="24"/>
        </w:rPr>
        <w:t>ДВС-синдром</w:t>
      </w:r>
      <w:proofErr w:type="spellEnd"/>
      <w:r w:rsidRPr="00B358A1">
        <w:rPr>
          <w:rFonts w:ascii="Times New Roman" w:hAnsi="Times New Roman" w:cs="Times New Roman"/>
          <w:sz w:val="24"/>
          <w:szCs w:val="24"/>
        </w:rPr>
        <w:t>, причины, стадии, лабораторная диагностика</w:t>
      </w:r>
    </w:p>
    <w:p w:rsidR="002F11FC" w:rsidRPr="002F11FC" w:rsidRDefault="002F11FC" w:rsidP="00BC4A0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2F11FC" w:rsidRPr="002F11FC" w:rsidRDefault="002F11FC" w:rsidP="002F11F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2F11FC" w:rsidRPr="002F11FC" w:rsidRDefault="002F11FC" w:rsidP="002F11F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F11FC" w:rsidRPr="002F11FC" w:rsidSect="0006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5EB"/>
    <w:multiLevelType w:val="hybridMultilevel"/>
    <w:tmpl w:val="0D6C62DE"/>
    <w:lvl w:ilvl="0" w:tplc="89667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D66DD"/>
    <w:multiLevelType w:val="hybridMultilevel"/>
    <w:tmpl w:val="80FEF8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D21B5"/>
    <w:multiLevelType w:val="hybridMultilevel"/>
    <w:tmpl w:val="93941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A2231"/>
    <w:multiLevelType w:val="hybridMultilevel"/>
    <w:tmpl w:val="B0B0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733"/>
    <w:rsid w:val="00063FCE"/>
    <w:rsid w:val="000774FD"/>
    <w:rsid w:val="000C4ED0"/>
    <w:rsid w:val="000D3D02"/>
    <w:rsid w:val="001E694B"/>
    <w:rsid w:val="0024424D"/>
    <w:rsid w:val="002F11FC"/>
    <w:rsid w:val="004B3D28"/>
    <w:rsid w:val="00607F53"/>
    <w:rsid w:val="00773AE6"/>
    <w:rsid w:val="009E67BB"/>
    <w:rsid w:val="00B358A1"/>
    <w:rsid w:val="00BC4A07"/>
    <w:rsid w:val="00C44733"/>
    <w:rsid w:val="00C55DF8"/>
    <w:rsid w:val="00CE5351"/>
    <w:rsid w:val="00E16BB9"/>
    <w:rsid w:val="00E2646C"/>
    <w:rsid w:val="00E81339"/>
    <w:rsid w:val="00EE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7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4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3</cp:revision>
  <dcterms:created xsi:type="dcterms:W3CDTF">2022-01-13T09:04:00Z</dcterms:created>
  <dcterms:modified xsi:type="dcterms:W3CDTF">2022-01-14T09:36:00Z</dcterms:modified>
</cp:coreProperties>
</file>