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0929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8BC3E56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48B05E48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11DBF5B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D42DFAC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8BAC9D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69E8CA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45A7C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01D5E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D35C38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85853E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57E82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2F2AD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84D28E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8E6727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82DA3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9BCAC4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E811D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E6C336A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47FD54E1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5CAE20D1" w14:textId="77777777" w:rsidR="001C154B" w:rsidRDefault="001C154B" w:rsidP="001C1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DCD0A" w14:textId="77777777" w:rsidR="001C154B" w:rsidRDefault="001C154B" w:rsidP="001C154B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  <w:r w:rsidRPr="00CF7355">
        <w:rPr>
          <w:rFonts w:ascii="Times New Roman" w:hAnsi="Times New Roman"/>
          <w:sz w:val="28"/>
          <w:szCs w:val="20"/>
        </w:rPr>
        <w:t>_________</w:t>
      </w:r>
      <w:r w:rsidRPr="00DD1D66">
        <w:rPr>
          <w:rFonts w:ascii="Times New Roman" w:hAnsi="Times New Roman"/>
          <w:sz w:val="28"/>
          <w:szCs w:val="20"/>
          <w:u w:val="single"/>
        </w:rPr>
        <w:t>ПОЛИКЛИНИЧЕСКАЯ ТЕРАПИЯ</w:t>
      </w:r>
      <w:r w:rsidRPr="00CF7355">
        <w:rPr>
          <w:rFonts w:ascii="Times New Roman" w:hAnsi="Times New Roman"/>
          <w:sz w:val="28"/>
          <w:szCs w:val="20"/>
        </w:rPr>
        <w:t>___________</w:t>
      </w:r>
    </w:p>
    <w:p w14:paraId="3B1FCDAD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E2245E8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3E0A9E1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DD1D66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 xml:space="preserve"> специальности</w:t>
      </w:r>
    </w:p>
    <w:p w14:paraId="2CE1D2FD" w14:textId="77777777" w:rsidR="001C154B" w:rsidRPr="00CF7355" w:rsidRDefault="001C154B" w:rsidP="001C154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6E67FADD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E3D59">
        <w:rPr>
          <w:rFonts w:ascii="Times New Roman" w:hAnsi="Times New Roman"/>
          <w:i/>
          <w:sz w:val="28"/>
          <w:szCs w:val="28"/>
        </w:rPr>
        <w:t xml:space="preserve">31.05.01 </w:t>
      </w:r>
      <w:r w:rsidRPr="00385778">
        <w:rPr>
          <w:rFonts w:ascii="Times New Roman" w:hAnsi="Times New Roman"/>
          <w:i/>
          <w:sz w:val="28"/>
          <w:szCs w:val="28"/>
        </w:rPr>
        <w:t>Лечебное дело</w:t>
      </w:r>
    </w:p>
    <w:p w14:paraId="260FF104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14:paraId="4C9DDC53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F1A4CFE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089B3F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873BC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BCE7D0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15DB59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8CB56F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91D78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C5CA2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CA9D1A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F9B7CE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0D06A4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C4B340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1D406A" w14:textId="77777777" w:rsidR="001C154B" w:rsidRPr="00CF7355" w:rsidRDefault="001C154B" w:rsidP="001C15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54EEB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4EEB">
        <w:rPr>
          <w:rFonts w:ascii="Times New Roman" w:hAnsi="Times New Roman"/>
          <w:i/>
          <w:sz w:val="24"/>
          <w:szCs w:val="24"/>
        </w:rPr>
        <w:t xml:space="preserve">31.05.01 </w:t>
      </w:r>
      <w:r w:rsidRPr="00385778">
        <w:rPr>
          <w:rFonts w:ascii="Times New Roman" w:hAnsi="Times New Roman"/>
          <w:i/>
          <w:sz w:val="24"/>
          <w:szCs w:val="24"/>
        </w:rPr>
        <w:t>Лечебное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0B3D1C1F" w14:textId="77777777" w:rsidR="001C154B" w:rsidRPr="00CF7355" w:rsidRDefault="001C154B" w:rsidP="001C15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6C7D2B" w14:textId="7EFA4890" w:rsidR="001C154B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53A2A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53A2A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9547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53A2A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153A2A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570AC565" w14:textId="77777777" w:rsidR="001C154B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43874F" w14:textId="77777777" w:rsidR="001C154B" w:rsidRPr="00CF7355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Оренбург</w:t>
      </w:r>
    </w:p>
    <w:p w14:paraId="60AAD6CF" w14:textId="77777777" w:rsidR="001C154B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C3F51C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синдромы в практике участкового терапевта.</w:t>
      </w:r>
    </w:p>
    <w:p w14:paraId="0431DD9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0EEBEF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14:paraId="3F7DEFE3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68BCEB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болезней суставов.</w:t>
      </w:r>
    </w:p>
    <w:p w14:paraId="16245AF7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BC2762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дифференциальной диагностике болезней суставов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3E3C318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645D793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определение суставного синдрома; заболевания, при которых данный синдром встречается; механизмы суставного синдрома при различных заболеваниях; данные анамнеза, необходимые для уточнения диагноза; другие клинические симптомы, с которыми данный синдром сочетается при предполагаемых заболеваниях; план исследований, которые следует использовать для уточнения диагноза; результаты обследований при предполагаемых заболеваниях; общие принципы лечения данного синдрома.</w:t>
      </w:r>
    </w:p>
    <w:p w14:paraId="606BE4B6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3210CE" w14:textId="77777777" w:rsidR="004B51FE" w:rsidRDefault="004B51FE" w:rsidP="004B51FE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69BB7DE2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D93924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20720574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5147F1C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1359CD" w14:textId="77777777" w:rsidR="004B51FE" w:rsidRDefault="004B51FE" w:rsidP="004B51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 2. </w:t>
      </w:r>
    </w:p>
    <w:p w14:paraId="1168E6A4" w14:textId="77777777" w:rsidR="004B51FE" w:rsidRDefault="004B51FE" w:rsidP="004B51FE">
      <w:pPr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u w:val="single"/>
        </w:rPr>
        <w:t>Остеопороз и его лечение.</w:t>
      </w:r>
    </w:p>
    <w:p w14:paraId="0064DAE7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сформулировать у обучающихся знания об остеопорозе, который нередко диагностируется поздно (после первого малотравматичного перелома),</w:t>
      </w:r>
    </w:p>
    <w:p w14:paraId="382E81AC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Обобщить и систематизировать знания о костном метаболизме, факторах риска и причинах остеопороза, методах диагностики, сформировать понятия о мерах профилактики, лечебном воздействии на костный метаболизм в различных ситуациях.</w:t>
      </w:r>
    </w:p>
    <w:p w14:paraId="6B316E56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 xml:space="preserve">. Даётся определение остеопороза. Разбираются факторы, регулирующие и контролирующие процессы костного </w:t>
      </w:r>
      <w:proofErr w:type="spellStart"/>
      <w:r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>
        <w:rPr>
          <w:rFonts w:ascii="Times New Roman" w:hAnsi="Times New Roman"/>
          <w:sz w:val="28"/>
          <w:szCs w:val="28"/>
        </w:rPr>
        <w:t>, а также факторы, предрасполагающие к развитию остеопороза. К числу их относятся, в том числе, различные заболевания, лекарственные препараты, которые приводят к вторичному остеопорозу.</w:t>
      </w:r>
    </w:p>
    <w:p w14:paraId="6262D313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имеет место первичный остеопороз (постменопаузальный и сенильный, которые нередко диагностируются после </w:t>
      </w:r>
      <w:proofErr w:type="spellStart"/>
      <w:r>
        <w:rPr>
          <w:rFonts w:ascii="Times New Roman" w:hAnsi="Times New Roman"/>
          <w:sz w:val="28"/>
          <w:szCs w:val="28"/>
        </w:rPr>
        <w:t>остеопоротического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(малотравматичного) перелома, который чаще всего локализуется в позвоночнике, костях запястья, шейке бедра.</w:t>
      </w:r>
    </w:p>
    <w:p w14:paraId="0448673C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Разбираются клинические проявления остеопороза, инструментальные и лабораторные методы диагностики его. Наиболее информативным методом </w:t>
      </w:r>
      <w:r>
        <w:rPr>
          <w:rFonts w:ascii="Times New Roman" w:hAnsi="Times New Roman"/>
          <w:sz w:val="28"/>
          <w:szCs w:val="28"/>
        </w:rPr>
        <w:lastRenderedPageBreak/>
        <w:t>диагностики, выявляющим от 2% потери костной массы, является рентгеновская денситометрия.</w:t>
      </w:r>
    </w:p>
    <w:p w14:paraId="68AD086A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разбираются также вопросы профилактики остеопороза, существенная роль в которой отводится здоровому образу жизни, полноценному питанию, адекватному потреблению кальция и витамина Д.</w:t>
      </w:r>
    </w:p>
    <w:p w14:paraId="5128BD5F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Важнейшая проблема – активное выявление больных ОП, подлежащих лечению.  Цель терапии – предупреждение переломов. В идеале она должна быть начата до появления симптомов заболевания.</w:t>
      </w:r>
    </w:p>
    <w:p w14:paraId="22F5D0D0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эталонным считается метод отбора больных для лечения с помощью метода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ХА. При Т-критерии менее 2,5 диагностируется остеопороз, что требует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противоостеопоротической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терапии. Терапия остеопороза включает общие (немедикаментозные) мероприятия, коррекцию кальциевого обмена, лекарственную коррекцию процессов </w:t>
      </w:r>
      <w:proofErr w:type="spellStart"/>
      <w:r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кости, динамический контроль за проводимой терапией.</w:t>
      </w:r>
    </w:p>
    <w:p w14:paraId="4B58733C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лекарственных препаратов, в зависимости от ситуации, проводят заместительную гормональную терапию эстрогенами, селективными модуляторами </w:t>
      </w:r>
      <w:proofErr w:type="spellStart"/>
      <w:r>
        <w:rPr>
          <w:rFonts w:ascii="Times New Roman" w:hAnsi="Times New Roman"/>
          <w:sz w:val="28"/>
          <w:szCs w:val="28"/>
        </w:rPr>
        <w:t>эстрогеновых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рецепторов, кальцитонином лосося, стронция </w:t>
      </w:r>
      <w:proofErr w:type="spellStart"/>
      <w:r>
        <w:rPr>
          <w:rFonts w:ascii="Times New Roman" w:hAnsi="Times New Roman"/>
          <w:sz w:val="28"/>
          <w:szCs w:val="28"/>
        </w:rPr>
        <w:t>ранелат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бисфосфонатами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терипаратидом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флюоридами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14:paraId="1B499D11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появился препарат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Деносумаб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генно-инженерный препарат из группы человеческих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антител, используемый для лечения различных патологий костной системы, известный во всем мире под международным торговым названием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Пролиа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Показан для лечения патологии костей, которые влияют на строение и их минерализацию. Обладает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антирезорбтивными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свойствами.</w:t>
      </w:r>
    </w:p>
    <w:p w14:paraId="721B479A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Особое внимание уделено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глюкокортикоидоиндуцированному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остеопорозу в связи с тем, что глюкокортикоиды широко применяются при лечении аутоиммунных процессов, патологии органов дыхания, в трансплантологии, онкологии и др. Длительный приём их даже в малых дозах приводит к прямому воздействию на дифференцировку, функцию и продолжительность жизни костных клеток. Возможно также опосредованное системное действие на костный метаболизм, развитие миопатии, увеличивающей риск падений и переломов.</w:t>
      </w:r>
    </w:p>
    <w:p w14:paraId="1B96C227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01A3188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333333"/>
          <w:sz w:val="28"/>
          <w:szCs w:val="28"/>
        </w:rPr>
        <w:t>информационная</w:t>
      </w:r>
    </w:p>
    <w:p w14:paraId="68F0BC05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Методы обучения, применяемые на лекции:</w:t>
      </w:r>
    </w:p>
    <w:p w14:paraId="766A08DF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дидактические (презентация),</w:t>
      </w:r>
    </w:p>
    <w:p w14:paraId="5CE33E62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материально-технические (мультимедийный проектор и ноутбук).</w:t>
      </w:r>
    </w:p>
    <w:p w14:paraId="14DD1AAF" w14:textId="77777777" w:rsidR="004B51FE" w:rsidRDefault="004B51FE" w:rsidP="004B51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1556054" w14:textId="77777777" w:rsidR="004B51FE" w:rsidRDefault="004B51FE" w:rsidP="004B51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№3. </w:t>
      </w:r>
    </w:p>
    <w:p w14:paraId="435D2532" w14:textId="77777777" w:rsidR="004B51FE" w:rsidRDefault="004B51FE" w:rsidP="004B51FE">
      <w:pPr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u w:val="single"/>
        </w:rPr>
        <w:t>Системная склеродермия.</w:t>
      </w:r>
    </w:p>
    <w:p w14:paraId="6768CF39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системных заболеваниях соединительной ткани, входящих в группу ревматических заболеваний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наиболее ярком представителе  их – системной склеродермии, систематизировать знания о патогенезе и клинических проявлениях собственно системной склеродермии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склеродермоподобных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заболеваний, сформировать новые  подходы к диагностике и лечению с учётом новых данных о патогенезе системного склероза в целом, так и путём воздействия на патологию различных органов и систем, обусловленных, главным образом,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склеродермической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микроангиопатией.</w:t>
      </w:r>
    </w:p>
    <w:p w14:paraId="3AE29DC4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 xml:space="preserve">. В лекции даётся развёрнутое определение системной склеродермии, в основе которой лежит поражение соединительной ткани с преобладанием фиброза и сосудистые патологические изменения по типу облитерирующей микроангиопатии. Приводятся основные клинические формы </w:t>
      </w:r>
      <w:proofErr w:type="spellStart"/>
      <w:r>
        <w:rPr>
          <w:rFonts w:ascii="Times New Roman" w:hAnsi="Times New Roman"/>
          <w:sz w:val="28"/>
          <w:szCs w:val="28"/>
        </w:rPr>
        <w:t>склеродермической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болезней и различия в клинических проявлениях их. Разбираются критерии </w:t>
      </w:r>
      <w:r>
        <w:rPr>
          <w:rFonts w:ascii="Times New Roman" w:hAnsi="Times New Roman"/>
          <w:sz w:val="28"/>
          <w:szCs w:val="28"/>
          <w:lang w:val="en-US"/>
        </w:rPr>
        <w:t>ACR</w:t>
      </w:r>
      <w:r>
        <w:rPr>
          <w:rFonts w:ascii="Times New Roman" w:hAnsi="Times New Roman"/>
          <w:sz w:val="28"/>
          <w:szCs w:val="28"/>
        </w:rPr>
        <w:t xml:space="preserve">, используемые для диагностики системной склеродермии. Помимо клинических проявлений, одним из наиболее ранних из которых является синдром Рейно, учитывают результаты специальных диагностических исследований. К числу их относится широкопольная </w:t>
      </w:r>
      <w:proofErr w:type="spellStart"/>
      <w:r>
        <w:rPr>
          <w:rFonts w:ascii="Times New Roman" w:hAnsi="Times New Roman"/>
          <w:sz w:val="28"/>
          <w:szCs w:val="28"/>
        </w:rPr>
        <w:t>видеокапилляроскопия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ногтевого ложа (прижизненная визуальная оценка структурных и функциональных качеств капилляров ногтевого ложа, имеющих только при системной склеродермии чёткое нозологическое своеобразие) и выявление иммунных нарушений, в том числе специфичных для данной патологии антител</w:t>
      </w:r>
    </w:p>
    <w:p w14:paraId="22CB3CCD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Разбираются новые классификационные критерии системной склеродермии (2001), алгоритм диагностики очень ранней системной склеродермии, клинические проявления в развёрнутой стадии болезни со стороны различных органов и систем. Представлена рабочая классификация системной склеродермии. Даны иллюстрации </w:t>
      </w:r>
      <w:proofErr w:type="gramStart"/>
      <w:r>
        <w:rPr>
          <w:rFonts w:ascii="Times New Roman" w:hAnsi="Times New Roman"/>
          <w:sz w:val="28"/>
          <w:szCs w:val="28"/>
        </w:rPr>
        <w:t>различных  проявлений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болезни.</w:t>
      </w:r>
    </w:p>
    <w:p w14:paraId="69E83AB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рассматриваются различные виды лечения в зависимости от характера течения.  Одним из компонентов лечения является немедикаментозная терапия. Основные цели лекарственного воздействия: сосудистый эндотелий (вазоактивная терапия), иммунная система (</w:t>
      </w:r>
      <w:proofErr w:type="spellStart"/>
      <w:r>
        <w:rPr>
          <w:rFonts w:ascii="Times New Roman" w:hAnsi="Times New Roman"/>
          <w:sz w:val="28"/>
          <w:szCs w:val="28"/>
        </w:rPr>
        <w:t>иммуносупрессия</w:t>
      </w:r>
      <w:proofErr w:type="spellEnd"/>
      <w:r>
        <w:rPr>
          <w:rFonts w:ascii="Times New Roman" w:hAnsi="Times New Roman"/>
          <w:sz w:val="28"/>
          <w:szCs w:val="28"/>
        </w:rPr>
        <w:t>), фибробласты (</w:t>
      </w:r>
      <w:proofErr w:type="spellStart"/>
      <w:r>
        <w:rPr>
          <w:rFonts w:ascii="Times New Roman" w:hAnsi="Times New Roman"/>
          <w:sz w:val="28"/>
          <w:szCs w:val="28"/>
        </w:rPr>
        <w:t>антифиброзная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терапия). При наличии висцеральных поражений назначаются соответствующие препараты.</w:t>
      </w:r>
    </w:p>
    <w:p w14:paraId="0D21922B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12F9F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333333"/>
          <w:sz w:val="28"/>
          <w:szCs w:val="28"/>
        </w:rPr>
        <w:t>информационная</w:t>
      </w:r>
    </w:p>
    <w:p w14:paraId="4EBCC2D9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Методы обучения, применяемые на лекции:</w:t>
      </w:r>
    </w:p>
    <w:p w14:paraId="3A8BE1BD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дидактические (презентация),</w:t>
      </w:r>
    </w:p>
    <w:p w14:paraId="235FE083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материально-технические (мультимедийный проектор и ноутбук).</w:t>
      </w:r>
    </w:p>
    <w:p w14:paraId="3034B4B1" w14:textId="77777777" w:rsidR="004B51FE" w:rsidRDefault="004B51FE" w:rsidP="004B51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104BF7E" w14:textId="77777777" w:rsidR="004B51FE" w:rsidRDefault="004B51FE" w:rsidP="004B5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№4. </w:t>
      </w:r>
    </w:p>
    <w:p w14:paraId="5E3332C4" w14:textId="77777777" w:rsidR="004B51FE" w:rsidRDefault="004B51FE" w:rsidP="004B51F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u w:val="single"/>
        </w:rPr>
        <w:t>Системные васкулиты.</w:t>
      </w:r>
    </w:p>
    <w:p w14:paraId="6D2F7BEA" w14:textId="77777777" w:rsidR="004B51FE" w:rsidRDefault="004B51FE" w:rsidP="004B5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B1C3BB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системных  васкулитах, являющихся гетерогенной группой заболеваний, основным морфологическим признаком которых является воспаление сосудистой стенки, а спектр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клинических проявлений зависит от типа, размера, локализации поражённых сосудов и тяжести органной патологии, систематизировать знания о патогенезе и клинических проявлениях различных вариантов  патологии, классификационных критериях их, сформировать  подходы к диагностике и лечению с учётом новых данных.</w:t>
      </w:r>
    </w:p>
    <w:p w14:paraId="2BAEC35D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8985DF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>: В лекции даётся развёрнутое определение системных васкулитов и их классификация. Все они сгруппированы в зависимости от калибра преимущественного поражения сосудов и наличия АНЦА (</w:t>
      </w:r>
      <w:proofErr w:type="spellStart"/>
      <w:r>
        <w:rPr>
          <w:rFonts w:ascii="Times New Roman" w:hAnsi="Times New Roman"/>
          <w:sz w:val="28"/>
          <w:szCs w:val="28"/>
        </w:rPr>
        <w:t>антинейтрофильные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цитоплазматические антитела). Для 7 системных васкулитов </w:t>
      </w:r>
      <w:r>
        <w:rPr>
          <w:rFonts w:ascii="Times New Roman" w:hAnsi="Times New Roman"/>
          <w:sz w:val="28"/>
          <w:szCs w:val="28"/>
          <w:lang w:val="en-US"/>
        </w:rPr>
        <w:t>ACR</w:t>
      </w:r>
      <w:r>
        <w:rPr>
          <w:rFonts w:ascii="Times New Roman" w:hAnsi="Times New Roman"/>
          <w:sz w:val="28"/>
          <w:szCs w:val="28"/>
        </w:rPr>
        <w:t>опубликовала классификационные критерии.</w:t>
      </w:r>
    </w:p>
    <w:p w14:paraId="38E1B9F8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Разбираются классификационные критерии и клинические проявления наиболее часто встречающихся васкулитов. В лекции содержится много иллюстративного материала, демонстрирующих клинические проявления. С учётом патогенеза   </w:t>
      </w:r>
      <w:proofErr w:type="spellStart"/>
      <w:r>
        <w:rPr>
          <w:rFonts w:ascii="Times New Roman" w:hAnsi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глюкокортикоиды являются основными группами лекарственных средств. Лечение всегда назначают индивидуально в зависимости от клинических проявлений заболевания и типа васкулита.</w:t>
      </w:r>
    </w:p>
    <w:p w14:paraId="46A81F8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CE8657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333333"/>
          <w:sz w:val="28"/>
          <w:szCs w:val="28"/>
        </w:rPr>
        <w:t>информационная</w:t>
      </w:r>
    </w:p>
    <w:p w14:paraId="20047A98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Методы обучения, применяемые на лекции:</w:t>
      </w:r>
    </w:p>
    <w:p w14:paraId="66DFDB87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дидактические (презентация),</w:t>
      </w:r>
    </w:p>
    <w:p w14:paraId="34F5C0BB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материально-технические (мультимедийный проектор и ноутбук).</w:t>
      </w:r>
    </w:p>
    <w:p w14:paraId="52EF94FB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35339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0C9D14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14:paraId="46F2ED4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Боль в спине: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спондилоартриты, дифференциальная диагностика со спондилоартрозами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14:paraId="7085443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396A4C8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спондилоартритах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ведения пациентов с этим заболеванием. </w:t>
      </w:r>
    </w:p>
    <w:p w14:paraId="053C6C7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1ADD76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определение спондилоартритов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серонегативных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спондилоартритов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</w:rPr>
        <w:t>патогенетические механизмы спондилоартритов; общие признаки спондилоартритов</w:t>
      </w:r>
      <w:r>
        <w:rPr>
          <w:rFonts w:ascii="Times New Roman" w:hAnsi="Times New Roman"/>
          <w:color w:val="000000"/>
          <w:sz w:val="28"/>
          <w:szCs w:val="28"/>
        </w:rPr>
        <w:t xml:space="preserve">; диагностические критерии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критерии воспалительной боли в спине; дифференциальная диагностика спондилоартрита со спондилоартрозом; подробно рассмотрен вопрос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анкилозирующего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спондилита, реактивных артритов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псориатического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артрита; принципы формулирования клинического диагноза,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диагности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лечения и профилактики этих заболеваний. </w:t>
      </w:r>
    </w:p>
    <w:p w14:paraId="73AEE0D7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F48461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3D8742D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1C4ED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1E0A011A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(мультимедийный проектор, ноутбук).</w:t>
      </w:r>
    </w:p>
    <w:p w14:paraId="00D8F83F" w14:textId="77777777" w:rsidR="004B51FE" w:rsidRDefault="004B51FE" w:rsidP="004B51F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EB84C66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57B1C9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14:paraId="024C2B00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Основные синдромы и симптомы при функциональных и органических заболеваниях органов пищеварения. </w:t>
      </w:r>
    </w:p>
    <w:p w14:paraId="3F1A58F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D388C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дифференциальной диагностике болезней органов пищеварения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7E343F2B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684A09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определения симптомов и синдромов при патологии органов пищеварения; заболевания, при которых данные синдромы (симптомы) встречаются; механизмы симптомов и синдромов при патологии органов пищеварения; данные анамнеза, необходимые для уточнения диагноза; другие клинические симптомы, с которыми данный синдром сочетается при предполагаемых заболеваниях; план исследований, которые следует использовать для уточнения диагноза; результаты обследований при предполагаемых заболеваниях; общие принципы лечения данного синдрома.</w:t>
      </w:r>
    </w:p>
    <w:p w14:paraId="7CED0705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2C333D2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4BE0890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495B5EC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514F78F7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E08DEB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14:paraId="71B169AD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Симптоматика мочевого и отечного синдромов. Алгоритм диагностики и лечения.</w:t>
      </w:r>
    </w:p>
    <w:p w14:paraId="3E30150C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A4494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дифференциальной диагностике основных симптомов мочевого и отечного синдромов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1A9CBD9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21AFDC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определения симптомов и синдромов при мочевом и отечном синдромах; заболевания, при которых данные синдромы (симптомы) встречаются; механизмы развития симптомов и синдромов; данные анамнеза, необходимые для уточнения диагноза; другие клинические симптомы, с которыми данный синдром сочетается при предполагаемых заболеваниях; план исследований, которые следует использовать для уточнения диагноза; результаты обследований при предполагаемых заболеваниях; общие принципы лечения данного синдрома.</w:t>
      </w:r>
    </w:p>
    <w:p w14:paraId="49643D46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8F82AB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0D94A49A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7B708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(презентация);</w:t>
      </w:r>
    </w:p>
    <w:p w14:paraId="0C99AB71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7E52B5D6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16BDE4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7FA413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№8.</w:t>
      </w:r>
    </w:p>
    <w:p w14:paraId="48C65B5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Нейроциркуляторная дистония и тактика ведения больных.</w:t>
      </w:r>
    </w:p>
    <w:p w14:paraId="7CAB3547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4F27DDBA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у обучающихся знания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нейроциркуляторной дистонии и тактике ведения пациентов с этим заболеванием. </w:t>
      </w:r>
    </w:p>
    <w:p w14:paraId="47720901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CD03C6F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рассматриваются определение нейроциркуляторной дистонии (НЦД); классификация; клинические проявления в зависимости от типа НЦД и степени ее тяжести; дифференциальная диагностика с другими заболеваниями и расстройствами; диагностические критерии НЦД; принципы формулирования клинического диагноза; пароксизмальные вегетативные нарушения (кризы); лечение НЦД и вегетативных кризов; профилактика НЦД. </w:t>
      </w:r>
    </w:p>
    <w:p w14:paraId="5BAB5CB1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FE191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информационная.</w:t>
      </w:r>
    </w:p>
    <w:p w14:paraId="744D6DC3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78B5D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(презентация);</w:t>
      </w:r>
    </w:p>
    <w:p w14:paraId="06E5F260" w14:textId="77777777" w:rsidR="004B51FE" w:rsidRDefault="004B51FE" w:rsidP="004B51F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 (мультимедийный проектор и ноутбук</w:t>
      </w:r>
    </w:p>
    <w:p w14:paraId="7D32406B" w14:textId="77777777" w:rsidR="001C154B" w:rsidRDefault="001C154B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C154B" w:rsidSect="00D4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B"/>
    <w:rsid w:val="000208C4"/>
    <w:rsid w:val="000242F0"/>
    <w:rsid w:val="0002513F"/>
    <w:rsid w:val="000300FC"/>
    <w:rsid w:val="00031213"/>
    <w:rsid w:val="00033AC1"/>
    <w:rsid w:val="00066F4B"/>
    <w:rsid w:val="00067E4E"/>
    <w:rsid w:val="00091F6C"/>
    <w:rsid w:val="00094028"/>
    <w:rsid w:val="000C7455"/>
    <w:rsid w:val="000D4E2D"/>
    <w:rsid w:val="00104915"/>
    <w:rsid w:val="00123468"/>
    <w:rsid w:val="001343ED"/>
    <w:rsid w:val="00137D7D"/>
    <w:rsid w:val="00153A2A"/>
    <w:rsid w:val="00154FA4"/>
    <w:rsid w:val="00156AA2"/>
    <w:rsid w:val="0016217A"/>
    <w:rsid w:val="001874C7"/>
    <w:rsid w:val="001A07E9"/>
    <w:rsid w:val="001C154B"/>
    <w:rsid w:val="001C1AA3"/>
    <w:rsid w:val="001C1E7A"/>
    <w:rsid w:val="001C3DF5"/>
    <w:rsid w:val="001C569C"/>
    <w:rsid w:val="001F71D9"/>
    <w:rsid w:val="00212E54"/>
    <w:rsid w:val="002167FC"/>
    <w:rsid w:val="00225C0F"/>
    <w:rsid w:val="00257940"/>
    <w:rsid w:val="00270086"/>
    <w:rsid w:val="002729EC"/>
    <w:rsid w:val="00285CA9"/>
    <w:rsid w:val="002906FE"/>
    <w:rsid w:val="002A4FF2"/>
    <w:rsid w:val="002B5868"/>
    <w:rsid w:val="002D49DE"/>
    <w:rsid w:val="003034A4"/>
    <w:rsid w:val="00306199"/>
    <w:rsid w:val="00327554"/>
    <w:rsid w:val="003374AC"/>
    <w:rsid w:val="00346674"/>
    <w:rsid w:val="00346BD2"/>
    <w:rsid w:val="00366059"/>
    <w:rsid w:val="003664AC"/>
    <w:rsid w:val="00367F16"/>
    <w:rsid w:val="00394C4D"/>
    <w:rsid w:val="003A3E4D"/>
    <w:rsid w:val="003B7394"/>
    <w:rsid w:val="003C09A2"/>
    <w:rsid w:val="003C60C1"/>
    <w:rsid w:val="003E4531"/>
    <w:rsid w:val="003E794F"/>
    <w:rsid w:val="004033D4"/>
    <w:rsid w:val="004056EC"/>
    <w:rsid w:val="00417D05"/>
    <w:rsid w:val="00422E26"/>
    <w:rsid w:val="00431B87"/>
    <w:rsid w:val="00431C8A"/>
    <w:rsid w:val="00432474"/>
    <w:rsid w:val="00437446"/>
    <w:rsid w:val="00442C30"/>
    <w:rsid w:val="00460E2F"/>
    <w:rsid w:val="00464F15"/>
    <w:rsid w:val="0047772C"/>
    <w:rsid w:val="004846A9"/>
    <w:rsid w:val="004854CF"/>
    <w:rsid w:val="004B51FE"/>
    <w:rsid w:val="004D1817"/>
    <w:rsid w:val="004E2818"/>
    <w:rsid w:val="004F00C4"/>
    <w:rsid w:val="004F0981"/>
    <w:rsid w:val="0051039D"/>
    <w:rsid w:val="005164CD"/>
    <w:rsid w:val="00516EF8"/>
    <w:rsid w:val="00530A16"/>
    <w:rsid w:val="00531FB3"/>
    <w:rsid w:val="00545A2B"/>
    <w:rsid w:val="00562EAA"/>
    <w:rsid w:val="00573D68"/>
    <w:rsid w:val="00583EC0"/>
    <w:rsid w:val="005A128A"/>
    <w:rsid w:val="00600836"/>
    <w:rsid w:val="00601612"/>
    <w:rsid w:val="00606F5A"/>
    <w:rsid w:val="00633604"/>
    <w:rsid w:val="00647859"/>
    <w:rsid w:val="0066104F"/>
    <w:rsid w:val="00673CB6"/>
    <w:rsid w:val="00674A32"/>
    <w:rsid w:val="006B096C"/>
    <w:rsid w:val="006D14D8"/>
    <w:rsid w:val="006E240B"/>
    <w:rsid w:val="00700A54"/>
    <w:rsid w:val="0070307C"/>
    <w:rsid w:val="007052BC"/>
    <w:rsid w:val="00735966"/>
    <w:rsid w:val="00737136"/>
    <w:rsid w:val="007455AF"/>
    <w:rsid w:val="007607DF"/>
    <w:rsid w:val="00762FE3"/>
    <w:rsid w:val="00764204"/>
    <w:rsid w:val="00767CC7"/>
    <w:rsid w:val="0077370A"/>
    <w:rsid w:val="00783DFA"/>
    <w:rsid w:val="00786421"/>
    <w:rsid w:val="00791BC4"/>
    <w:rsid w:val="007935D2"/>
    <w:rsid w:val="007D11B7"/>
    <w:rsid w:val="007D1D50"/>
    <w:rsid w:val="00801112"/>
    <w:rsid w:val="00817C35"/>
    <w:rsid w:val="00820265"/>
    <w:rsid w:val="00826347"/>
    <w:rsid w:val="0086306D"/>
    <w:rsid w:val="0087185A"/>
    <w:rsid w:val="008760FA"/>
    <w:rsid w:val="008875A7"/>
    <w:rsid w:val="00891784"/>
    <w:rsid w:val="008D5E66"/>
    <w:rsid w:val="008E4EE7"/>
    <w:rsid w:val="008E6112"/>
    <w:rsid w:val="00905F79"/>
    <w:rsid w:val="00916BB1"/>
    <w:rsid w:val="00917F21"/>
    <w:rsid w:val="00953CAD"/>
    <w:rsid w:val="009574AA"/>
    <w:rsid w:val="0096437A"/>
    <w:rsid w:val="009A12A3"/>
    <w:rsid w:val="009D4475"/>
    <w:rsid w:val="009F2509"/>
    <w:rsid w:val="00A01E77"/>
    <w:rsid w:val="00A21E31"/>
    <w:rsid w:val="00A233DE"/>
    <w:rsid w:val="00A426F2"/>
    <w:rsid w:val="00A45919"/>
    <w:rsid w:val="00A46ADA"/>
    <w:rsid w:val="00A63E5E"/>
    <w:rsid w:val="00A76037"/>
    <w:rsid w:val="00AA13F8"/>
    <w:rsid w:val="00AA24C0"/>
    <w:rsid w:val="00AA5B26"/>
    <w:rsid w:val="00AB2F3A"/>
    <w:rsid w:val="00AB484A"/>
    <w:rsid w:val="00AD33BF"/>
    <w:rsid w:val="00AD454E"/>
    <w:rsid w:val="00B261AC"/>
    <w:rsid w:val="00B261D3"/>
    <w:rsid w:val="00B266F1"/>
    <w:rsid w:val="00B273D2"/>
    <w:rsid w:val="00B316DD"/>
    <w:rsid w:val="00B35218"/>
    <w:rsid w:val="00B60485"/>
    <w:rsid w:val="00B73F20"/>
    <w:rsid w:val="00B83BA8"/>
    <w:rsid w:val="00BA7AC2"/>
    <w:rsid w:val="00BB63E7"/>
    <w:rsid w:val="00BF4AF9"/>
    <w:rsid w:val="00C01F6F"/>
    <w:rsid w:val="00C10EDA"/>
    <w:rsid w:val="00C112EB"/>
    <w:rsid w:val="00C20E32"/>
    <w:rsid w:val="00C22082"/>
    <w:rsid w:val="00C40665"/>
    <w:rsid w:val="00C45F14"/>
    <w:rsid w:val="00C5038C"/>
    <w:rsid w:val="00C95E39"/>
    <w:rsid w:val="00CD1074"/>
    <w:rsid w:val="00CD2F81"/>
    <w:rsid w:val="00D04172"/>
    <w:rsid w:val="00D40D80"/>
    <w:rsid w:val="00D50DE2"/>
    <w:rsid w:val="00D52ED6"/>
    <w:rsid w:val="00D53B95"/>
    <w:rsid w:val="00D74E18"/>
    <w:rsid w:val="00DA4C57"/>
    <w:rsid w:val="00DD4D35"/>
    <w:rsid w:val="00DF1BC5"/>
    <w:rsid w:val="00E11AD7"/>
    <w:rsid w:val="00E42D49"/>
    <w:rsid w:val="00E503F6"/>
    <w:rsid w:val="00E50FA2"/>
    <w:rsid w:val="00E52674"/>
    <w:rsid w:val="00E6212C"/>
    <w:rsid w:val="00E91B26"/>
    <w:rsid w:val="00E93049"/>
    <w:rsid w:val="00E94CCB"/>
    <w:rsid w:val="00E96895"/>
    <w:rsid w:val="00EB1089"/>
    <w:rsid w:val="00ED2B72"/>
    <w:rsid w:val="00EE4C93"/>
    <w:rsid w:val="00F15B9D"/>
    <w:rsid w:val="00F17030"/>
    <w:rsid w:val="00F369B4"/>
    <w:rsid w:val="00F65CCB"/>
    <w:rsid w:val="00F7484C"/>
    <w:rsid w:val="00F81761"/>
    <w:rsid w:val="00F90B0A"/>
    <w:rsid w:val="00F9409E"/>
    <w:rsid w:val="00F96936"/>
    <w:rsid w:val="00FB1AB5"/>
    <w:rsid w:val="00FB3ED6"/>
    <w:rsid w:val="00FB6FA2"/>
    <w:rsid w:val="00FC1A30"/>
    <w:rsid w:val="00FD102F"/>
    <w:rsid w:val="00FD60C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A6B9"/>
  <w15:docId w15:val="{1F33A1BC-6D1A-4A7C-9805-CDF5C01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Сизова</cp:lastModifiedBy>
  <cp:revision>2</cp:revision>
  <dcterms:created xsi:type="dcterms:W3CDTF">2022-03-02T11:54:00Z</dcterms:created>
  <dcterms:modified xsi:type="dcterms:W3CDTF">2022-03-02T11:54:00Z</dcterms:modified>
</cp:coreProperties>
</file>