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jc w:val="center"/>
        <w:spacing w:after="0"/>
        <w:rPr>
          <w:rFonts w:ascii="Times New Roman" w:hAnsi="Times New Roman"/>
          <w:sz w:val="28"/>
          <w:szCs w:val="28"/>
          <w:u w:val="single" w:color="auto"/>
        </w:rPr>
      </w:pPr>
      <w:r>
        <w:rPr>
          <w:rFonts w:ascii="Times New Roman" w:hAnsi="Times New Roman"/>
          <w:sz w:val="28"/>
          <w:szCs w:val="28"/>
          <w:u w:val="single" w:color="auto"/>
        </w:rPr>
        <w:t>Симуляционный курс</w:t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0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8"/>
          <w:szCs w:val="20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0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33.08.03 Фармацевтическая химия, фармакогнозия</w:t>
      </w: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ind w:firstLine="709"/>
        <w:jc w:val="center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ind w:firstLine="709"/>
        <w:jc w:val="center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33.08.03 Фармацевтическая химия, фармакогнозия, утвержденной ученым советом ФГБОУ </w:t>
      </w:r>
      <w:r>
        <w:rPr>
          <w:rFonts w:ascii="Times New Roman" w:eastAsia="Times New Roman" w:hAnsi="Times New Roman"/>
          <w:color w:val="000000"/>
          <w:sz w:val="28"/>
          <w:szCs w:val="24"/>
        </w:rPr>
        <w:t>ВО ОрГМУ Минздрава России</w:t>
      </w:r>
    </w:p>
    <w:p>
      <w:pPr>
        <w:ind w:firstLine="709"/>
        <w:jc w:val="center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</w:rPr>
      </w:pPr>
    </w:p>
    <w:p>
      <w:pPr>
        <w:ind w:firstLine="709"/>
        <w:jc w:val="center"/>
        <w:rPr>
          <w:rFonts w:ascii="Times New Roman" w:eastAsia="Times New Roman" w:hAnsi="Times New Roman" w:hint="default"/>
          <w:color w:val="000000"/>
        </w:rPr>
      </w:pPr>
      <w:r>
        <w:rPr>
          <w:rFonts w:ascii="Times New Roman" w:eastAsia="Times New Roman" w:hAnsi="Times New Roman" w:hint="default"/>
          <w:color w:val="000000"/>
          <w:sz w:val="28"/>
        </w:rPr>
        <w:t xml:space="preserve">протокол № </w:t>
      </w:r>
      <w:r>
        <w:rPr>
          <w:rFonts w:ascii="Times New Roman" w:eastAsia="Times New Roman" w:hAnsi="Times New Roman" w:hint="default"/>
          <w:color w:val="000000"/>
          <w:sz w:val="28"/>
          <w:rtl w:val="off"/>
        </w:rPr>
        <w:t>8</w:t>
      </w:r>
      <w:r>
        <w:rPr>
          <w:rFonts w:ascii="Times New Roman" w:eastAsia="Times New Roman" w:hAnsi="Times New Roman" w:hint="default"/>
          <w:color w:val="000000"/>
          <w:sz w:val="28"/>
        </w:rPr>
        <w:t xml:space="preserve"> от «</w:t>
      </w:r>
      <w:r>
        <w:rPr>
          <w:rFonts w:ascii="Times New Roman" w:eastAsia="Times New Roman" w:hAnsi="Times New Roman" w:hint="default"/>
          <w:color w:val="000000"/>
          <w:sz w:val="28"/>
          <w:rtl w:val="off"/>
        </w:rPr>
        <w:t>02</w:t>
      </w:r>
      <w:r>
        <w:rPr>
          <w:rFonts w:ascii="Times New Roman" w:eastAsia="Times New Roman" w:hAnsi="Times New Roman" w:hint="default"/>
          <w:color w:val="000000"/>
          <w:sz w:val="28"/>
        </w:rPr>
        <w:t xml:space="preserve">» </w:t>
      </w:r>
      <w:r>
        <w:rPr>
          <w:rFonts w:ascii="Times New Roman" w:eastAsia="Times New Roman" w:hAnsi="Times New Roman" w:hint="default"/>
          <w:color w:val="000000"/>
          <w:sz w:val="28"/>
          <w:rtl w:val="off"/>
        </w:rPr>
        <w:t>апреля</w:t>
      </w:r>
      <w:r>
        <w:rPr>
          <w:rFonts w:ascii="Times New Roman" w:eastAsia="Times New Roman" w:hAnsi="Times New Roman" w:hint="default"/>
          <w:color w:val="000000"/>
          <w:sz w:val="28"/>
        </w:rPr>
        <w:t xml:space="preserve"> 20</w:t>
      </w:r>
      <w:r>
        <w:rPr>
          <w:rFonts w:ascii="Times New Roman" w:eastAsia="Times New Roman" w:hAnsi="Times New Roman" w:hint="default"/>
          <w:color w:val="000000"/>
          <w:sz w:val="28"/>
          <w:rtl w:val="off"/>
        </w:rPr>
        <w:t>18</w:t>
      </w:r>
      <w:r>
        <w:rPr>
          <w:rFonts w:ascii="Times New Roman" w:eastAsia="Times New Roman" w:hAnsi="Times New Roman" w:hint="default"/>
          <w:color w:val="000000"/>
          <w:sz w:val="28"/>
        </w:rPr>
        <w:t xml:space="preserve"> года</w:t>
      </w:r>
      <w:r>
        <w:rPr>
          <w:rFonts w:ascii="Times New Roman" w:eastAsia="Times New Roman" w:hAnsi="Times New Roman" w:hint="default"/>
          <w:color w:val="000000"/>
        </w:rPr>
        <w:t xml:space="preserve">  </w:t>
      </w:r>
    </w:p>
    <w:p>
      <w:pPr>
        <w:ind w:firstLine="709"/>
        <w:jc w:val="center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>
      <w:pPr>
        <w:ind w:firstLine="709"/>
        <w:jc w:val="center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ind w:firstLine="709"/>
        <w:jc w:val="center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ind w:firstLine="709"/>
        <w:jc w:val="center"/>
        <w:spacing w:after="0" w:line="240" w:lineRule="auto"/>
        <w:rPr>
          <w:lang w:eastAsia="en-US"/>
          <w:rFonts w:ascii="Times New Roman" w:hAnsi="Times New Roman"/>
          <w:b/>
          <w:color w:val="000000"/>
          <w:sz w:val="24"/>
          <w:szCs w:val="24"/>
        </w:rPr>
      </w:pPr>
    </w:p>
    <w:p>
      <w:pPr>
        <w:contextualSpacing/>
        <w:jc w:val="both"/>
        <w:numPr>
          <w:ilvl w:val="0"/>
          <w:numId w:val="1"/>
        </w:numPr>
        <w:spacing w:after="0" w:line="240" w:lineRule="auto"/>
        <w:rPr>
          <w:lang w:eastAsia="en-US"/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lang w:eastAsia="en-US"/>
          <w:rFonts w:ascii="Times New Roman" w:eastAsia="Calibri" w:hAnsi="Times New Roman"/>
          <w:b/>
          <w:color w:val="000000"/>
          <w:sz w:val="28"/>
          <w:szCs w:val="28"/>
        </w:rPr>
        <w:t>Методические рекомендации по проведению лабораторных занятий</w:t>
      </w:r>
    </w:p>
    <w:p>
      <w:pPr>
        <w:ind w:left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8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 Работа с нормативной документацией, приготовление реактивов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8"/>
          <w:szCs w:val="24"/>
        </w:rPr>
      </w:pP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1.1: работа с Государственной Фармакопеей Российской Федерации, р</w:t>
      </w:r>
      <w:r>
        <w:rPr>
          <w:rFonts w:ascii="Times New Roman" w:hAnsi="Times New Roman"/>
          <w:b/>
          <w:sz w:val="28"/>
          <w:szCs w:val="28"/>
        </w:rPr>
        <w:t>абота с общими фармакопейными статьями, работа с частными фармакопейными статьями</w:t>
      </w: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8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изучить структуру Государственной Фармакопеей Российской Федерации, научиться работать с нормативной документацией, используемой провизором-аналитиком.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ind w:firstLine="709"/>
        <w:jc w:val="both"/>
        <w:spacing w:after="0"/>
        <w:rPr>
          <w:rFonts w:ascii="Times New Roman" w:hAnsi="Times New Roman"/>
          <w:i/>
          <w:color w:val="000000"/>
          <w:sz w:val="28"/>
          <w:szCs w:val="28"/>
          <w:spacing w:val="-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1129"/>
        <w:gridCol w:w="9066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firstLine="22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jc w:val="bot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Фармацевтическая химия как наука, фармацевтическая терминология.</w:t>
            </w:r>
          </w:p>
          <w:p>
            <w:pPr>
              <w:jc w:val="bot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Объекты исследования фармацевтической химии.</w:t>
            </w:r>
          </w:p>
          <w:p>
            <w:pPr>
              <w:jc w:val="bot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Государственной фармакопеи X издания и её значение для оценки качества лекарственных средств.</w:t>
            </w:r>
          </w:p>
          <w:p>
            <w:pPr>
              <w:jc w:val="bot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Государственной фармакопеи X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издания и её значение для оценки качества лекарственных средств.</w:t>
            </w:r>
          </w:p>
          <w:p>
            <w:pPr>
              <w:jc w:val="bot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Государственной фармакопеи X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издания и её значение для оценки качества лекарственных средств.</w:t>
            </w:r>
          </w:p>
          <w:p>
            <w:pPr>
              <w:jc w:val="bot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Государственной фармакопеи X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издания и её значение для оценки качества лекарственных средств.</w:t>
            </w:r>
          </w:p>
          <w:p>
            <w:pPr>
              <w:jc w:val="bot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Государственной фармакопеи X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издания и её значение для оценки качества лекарственных средств.</w:t>
            </w:r>
          </w:p>
          <w:p>
            <w:pPr>
              <w:jc w:val="bot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Нормативная документация (НД), фармакопейные статьи (ФС), фармакопейные статьи предприятий (ФСП), общие фармакопейные статьи (ОФС), ГОСТ, ТУ, ОСТ, регламентирующие качество лекарственных средств.</w:t>
            </w:r>
          </w:p>
          <w:p>
            <w:pPr>
              <w:jc w:val="bot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государственного реестра лекарственных средств, регистров и классификаторов ЛС.  Международные непатентованные наименования (МНН) лекарственных веществ.  </w:t>
            </w:r>
          </w:p>
          <w:p>
            <w:pPr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>
            <w:pPr>
              <w:suppressAutoHyphens/>
              <w:jc w:val="both"/>
              <w:suppressAutoHyphens/>
              <w:spacing w:after="0" w:before="16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Написать общие реакции на подлинность неорганических фармацевтических субстанций (по наличию катионов и анионов) в соответствии с требованиями ГФ </w:t>
            </w:r>
            <w:r>
              <w:rPr>
                <w:lang w:val="en-US"/>
                <w:rFonts w:ascii="Times New Roman" w:hAnsi="Times New Roman"/>
                <w:sz w:val="28"/>
                <w:szCs w:val="28"/>
              </w:rPr>
              <w:t>XIV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HYPERLINK \l "_Общие_реакции_на"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 w:color="auto"/>
              </w:rPr>
              <w:t xml:space="preserve">Приложение </w:t>
            </w:r>
            <w:r>
              <w:rPr>
                <w:rFonts w:ascii="Times New Roman" w:hAnsi="Times New Roman"/>
                <w:i/>
                <w:color w:val="0000FF"/>
                <w:sz w:val="28"/>
                <w:szCs w:val="28"/>
                <w:u w:val="single" w:color="auto"/>
              </w:rPr>
              <w:t>«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 w:color="auto"/>
              </w:rPr>
              <w:t>Общие реакции на подлинность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 w:color="auto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  <w:p>
            <w:pPr>
              <w:suppressAutoHyphens/>
              <w:jc w:val="both"/>
              <w:suppressAutoHyphens/>
              <w:spacing w:after="0" w:before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Результаты оформить в виде таблицы 1. </w:t>
            </w:r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Таблица 1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реакции на подлинность неорганических фармацевтических субстанций по наличию катионов и анионов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ffff1"/>
              <w:tblW w:w="9351" w:type="dxa"/>
              <w:tblLook w:val="06A0" w:firstRow="1" w:lastRow="0" w:firstColumn="1" w:lastColumn="0" w:noHBand="1" w:noVBand="1"/>
            </w:tblPr>
            <w:tblGrid>
              <w:gridCol w:w="559"/>
              <w:gridCol w:w="992"/>
              <w:gridCol w:w="990"/>
              <w:gridCol w:w="1133"/>
              <w:gridCol w:w="1495"/>
              <w:gridCol w:w="2913"/>
              <w:gridCol w:w="1269"/>
            </w:tblGrid>
            <w:tr>
              <w:tc>
                <w:tcPr>
                  <w:tcW w:w="562" w:type="dxa"/>
                  <w:vAlign w:val="center"/>
                </w:tcPr>
                <w:p>
                  <w:pPr>
                    <w:ind w:left="-32" w:right="-114"/>
                    <w:suppressAutoHyphens/>
                    <w:jc w:val="center"/>
                    <w:suppressAutoHyphens/>
                    <w:spacing w:before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ind w:left="-32" w:right="-114"/>
                    <w:suppressAutoHyphens/>
                    <w:jc w:val="center"/>
                    <w:suppressAutoHyphens/>
                    <w:spacing w:before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Опреде-ляемый анион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ind w:left="-32" w:right="-114"/>
                    <w:suppressAutoHyphens/>
                    <w:jc w:val="center"/>
                    <w:suppressAutoHyphens/>
                    <w:spacing w:before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Навеска соли, г.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ind w:left="-32" w:right="-114"/>
                    <w:suppressAutoHyphens/>
                    <w:jc w:val="center"/>
                    <w:suppressAutoHyphens/>
                    <w:spacing w:before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Основной реактив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ind w:left="-32" w:right="-114"/>
                    <w:suppressAutoHyphens/>
                    <w:jc w:val="center"/>
                    <w:suppressAutoHyphens/>
                    <w:spacing w:before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Дополнитель-ные реактивы</w:t>
                  </w:r>
                </w:p>
              </w:tc>
              <w:tc>
                <w:tcPr>
                  <w:tcW w:w="2977" w:type="dxa"/>
                  <w:vAlign w:val="center"/>
                </w:tcPr>
                <w:p>
                  <w:pPr>
                    <w:ind w:left="-32" w:right="-114"/>
                    <w:suppressAutoHyphens/>
                    <w:jc w:val="center"/>
                    <w:suppressAutoHyphens/>
                    <w:spacing w:before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Уравнения реакций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ind w:left="-32" w:right="-114"/>
                    <w:suppressAutoHyphens/>
                    <w:jc w:val="center"/>
                    <w:suppressAutoHyphens/>
                    <w:spacing w:before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Аналити-ческий эффект</w:t>
                  </w: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2977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2977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2977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uppressAutoHyphens/>
                    <w:jc w:val="both"/>
                    <w:suppressAutoHyphens/>
                    <w:spacing w:before="160"/>
                    <w:rPr>
                      <w:rFonts w:ascii="Times New Roman" w:hAnsi="Times New Roman"/>
                      <w:u w:val="single" w:color="auto"/>
                    </w:rPr>
                  </w:pPr>
                </w:p>
              </w:tc>
            </w:tr>
          </w:tbl>
          <w:p>
            <w:pPr>
              <w:suppressAutoHyphens/>
              <w:jc w:val="both"/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Примечание. </w:t>
            </w:r>
          </w:p>
          <w:p>
            <w:pPr>
              <w:suppressAutoHyphens/>
              <w:jc w:val="both"/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 xml:space="preserve">1)В таблицу внести следующие катионы и анионы: </w:t>
            </w:r>
            <w:r>
              <w:rPr>
                <w:rFonts w:ascii="Times New Roman" w:hAnsi="Times New Roman"/>
                <w:bCs/>
                <w:i/>
              </w:rPr>
              <w:t>аммоний, железо(II), железо(III), калий, кальций, магний, натрий, цинк, ацетаты, бромиды, йодиды, карбонаты (гидрокарбонаты), арсениты, арсенаты, нитраты, нитриты, салицилаты, сульфаты, сульфиты, тартраты, фосфаты, хлориды, цитраты.</w:t>
            </w:r>
          </w:p>
          <w:p>
            <w:pPr>
              <w:suppressAutoHyphens/>
              <w:jc w:val="both"/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2)Навеску соли для проведения реакции на подлинность необходимо рассчитать самостоятельно, в граммах</w:t>
            </w:r>
          </w:p>
          <w:p>
            <w:pPr>
              <w:suppressAutoHyphens/>
              <w:jc w:val="both"/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>
            <w:pPr>
              <w:suppressAutoHyphens/>
              <w:jc w:val="both"/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\l "_Общие_реакции_на"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8"/>
                <w:u w:val="single" w:color="auto"/>
              </w:rPr>
              <w:t xml:space="preserve">Приложении </w:t>
            </w:r>
            <w:r>
              <w:rPr>
                <w:rFonts w:ascii="Times New Roman" w:hAnsi="Times New Roman"/>
                <w:i/>
                <w:color w:val="0000FF"/>
                <w:sz w:val="24"/>
                <w:szCs w:val="28"/>
                <w:u w:val="single" w:color="auto"/>
              </w:rPr>
              <w:t>«</w:t>
            </w:r>
            <w:r>
              <w:rPr>
                <w:rFonts w:ascii="Times New Roman" w:hAnsi="Times New Roman"/>
                <w:color w:val="0000FF"/>
                <w:sz w:val="24"/>
                <w:szCs w:val="28"/>
                <w:u w:val="single" w:color="auto"/>
              </w:rPr>
              <w:t>Общие реакции на подлинность</w:t>
            </w:r>
            <w:r>
              <w:rPr>
                <w:rFonts w:ascii="Times New Roman" w:hAnsi="Times New Roman"/>
                <w:color w:val="0000FF"/>
                <w:sz w:val="24"/>
                <w:szCs w:val="28"/>
                <w:u w:val="single" w:color="auto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указана аналитическая концентрация иона (г в объеме растворителя), обеспечивающая его достоверное доказательство в указанных условиях анализа. Для проведения реакции необходимо рассчитать навеску субстанции, эквивалентную массе иона.</w:t>
            </w:r>
          </w:p>
          <w:p>
            <w:pPr>
              <w:ind w:left="1440"/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>
            <w:pPr>
              <w:ind w:left="144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субстанции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>
              <w:rPr>
                <w:lang w:val="de-DE"/>
                <w:rFonts w:ascii="Times New Roman" w:hAnsi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иона</w:t>
            </w:r>
            <w:r>
              <w:rPr>
                <w:lang w:val="de-DE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4"/>
            </w:r>
            <w:r>
              <w:rPr>
                <w:lang w:val="de-DE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>
            <w:pPr>
              <w:ind w:left="144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М.м.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соли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>
            <w:pPr>
              <w:ind w:left="1440" w:firstLine="72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--------------------</w:t>
            </w:r>
          </w:p>
          <w:p>
            <w:pPr>
              <w:ind w:left="1440" w:firstLine="72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М.м. (А.м.)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иона</w:t>
            </w:r>
          </w:p>
          <w:p>
            <w:pPr>
              <w:ind w:firstLine="7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72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Рассчитайте навеску натрия бензоата для проведения реакции на подлинность бензоата по ГФ Х</w:t>
            </w:r>
            <w:r>
              <w:rPr>
                <w:lang w:val="en-US"/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издания.</w:t>
            </w:r>
          </w:p>
          <w:p>
            <w:pPr>
              <w:ind w:firstLine="709"/>
              <w:jc w:val="both"/>
              <w:spacing w:after="12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ОФС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\l "_Общие_реакции_на"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8"/>
                <w:u w:val="single" w:color="auto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i/>
                <w:color w:val="0000FF"/>
                <w:sz w:val="24"/>
                <w:szCs w:val="28"/>
                <w:u w:val="single" w:color="auto"/>
              </w:rPr>
              <w:t>«</w:t>
            </w:r>
            <w:r>
              <w:rPr>
                <w:rFonts w:ascii="Times New Roman" w:eastAsiaTheme="minorHAnsi" w:hAnsi="Times New Roman"/>
                <w:color w:val="0000FF"/>
                <w:sz w:val="24"/>
                <w:szCs w:val="28"/>
                <w:u w:val="single" w:color="auto"/>
              </w:rPr>
              <w:t>Общие реакции на подлинность</w:t>
            </w:r>
            <w:r>
              <w:rPr>
                <w:rFonts w:ascii="Times New Roman" w:eastAsiaTheme="minorHAnsi" w:hAnsi="Times New Roman"/>
                <w:color w:val="0000FF"/>
                <w:sz w:val="24"/>
                <w:szCs w:val="28"/>
                <w:u w:val="single" w:color="auto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для проведения реакции на подлинность с хлоридом железа (</w:t>
            </w:r>
            <w:r>
              <w:rPr>
                <w:lang w:val="en-US"/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 необходимо взять 2 мл нейтрального раствора бензоата (0,01-0,02 г иона бензоата).</w:t>
            </w:r>
          </w:p>
          <w:p>
            <w:pPr>
              <w:ind w:firstLine="72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Рассчитывают минимальную навеску натрия бензоата, которую следует взять для проведения реакции: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М.м.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натрия бензоата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натрия бензоата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lang w:val="en-US"/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бензоат-иона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lang w:val="en-US"/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бензоат-иона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-------------------------- = 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lang w:val="de-DE"/>
                <w:rFonts w:ascii="Times New Roman" w:hAnsi="Times New Roman"/>
                <w:sz w:val="24"/>
                <w:szCs w:val="24"/>
                <w:vertAlign w:val="super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lang w:val="en-US"/>
                <w:rFonts w:ascii="Times New Roman" w:hAnsi="Times New Roman"/>
                <w:sz w:val="24"/>
                <w:szCs w:val="24"/>
                <w:vertAlign w:val="super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(</w:t>
            </w:r>
            <w:r>
              <w:rPr>
                <w:lang w:val="de-DE"/>
                <w:rFonts w:ascii="Times New Roman" w:hAnsi="Times New Roman"/>
                <w:sz w:val="24"/>
                <w:szCs w:val="24"/>
                <w:vertAlign w:val="super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М.м.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бензоат-иона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144,11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= 0,01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/>
                <w:sz w:val="24"/>
                <w:szCs w:val="24"/>
              </w:rPr>
              <w:t xml:space="preserve"> ---------- = 0,01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1,20 = 0,012 г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121,12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2) Рассчитывают максимальную навеску натрия бензоата, которую следует взять для проведения реакции: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натрия бензоата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lang w:val="en-US"/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бензоат-иона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1,20 = 0,024 г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lang w:val="de-DE"/>
                <w:rFonts w:ascii="Times New Roman" w:hAnsi="Times New Roman"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lang w:val="en-US"/>
                <w:rFonts w:ascii="Times New Roman" w:hAnsi="Times New Roman"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Следовательно, для выполнения реакции на подлинность необходимо взять на ручных весах (с точностью до 0,01 г) навеску натрия бензоата от 0,01 до 0,02 г и растворить ее в 2 мл воды.</w:t>
            </w:r>
          </w:p>
          <w:p>
            <w:pPr>
              <w:suppressAutoHyphens/>
              <w:jc w:val="both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</w:pPr>
          </w:p>
        </w:tc>
      </w:tr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ind w:left="0" w:firstLine="709"/>
              <w:contextualSpacing/>
              <w:jc w:val="both"/>
              <w:numPr>
                <w:ilvl w:val="0"/>
                <w:numId w:val="3"/>
              </w:numPr>
              <w:spacing w:after="0"/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ind w:left="0" w:firstLine="709"/>
              <w:contextualSpacing/>
              <w:jc w:val="both"/>
              <w:numPr>
                <w:ilvl w:val="0"/>
                <w:numId w:val="3"/>
              </w:numPr>
              <w:spacing w:after="0"/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</w:t>
            </w:r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1.2: приготовление титрованных растворов и их стандартизация, п</w:t>
      </w:r>
      <w:r>
        <w:rPr>
          <w:rFonts w:ascii="Times New Roman" w:hAnsi="Times New Roman"/>
          <w:b/>
          <w:sz w:val="28"/>
          <w:szCs w:val="28"/>
        </w:rPr>
        <w:t>риготовление реактивов, индикаторов, эталонных растворов и их стандартизация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научиться готовить титрованные растворы и проводить их стандартизацию, научиться готовить реактивы, индикаторы, эталонные растворы и проводить их стандартизацию.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ind w:firstLine="709"/>
        <w:jc w:val="both"/>
        <w:spacing w:after="0"/>
        <w:rPr>
          <w:rFonts w:ascii="Times New Roman" w:hAnsi="Times New Roman"/>
          <w:i/>
          <w:color w:val="000000"/>
          <w:sz w:val="28"/>
          <w:szCs w:val="28"/>
          <w:spacing w:val="-4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704"/>
        <w:gridCol w:w="9577"/>
      </w:tblGrid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jc w:val="both"/>
              <w:numPr>
                <w:ilvl w:val="0"/>
                <w:numId w:val="4"/>
              </w:num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применения терминов, понятий и методов, используемых в фармакопейных статьях.</w:t>
            </w:r>
          </w:p>
          <w:p>
            <w:pPr>
              <w:jc w:val="both"/>
              <w:numPr>
                <w:ilvl w:val="0"/>
                <w:numId w:val="4"/>
              </w:num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Титрованные растворы</w:t>
            </w:r>
            <w:r>
              <w:rPr>
                <w:lang w:val="en-US"/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приготовление, стандартизация.</w:t>
            </w:r>
          </w:p>
          <w:p>
            <w:pPr>
              <w:jc w:val="both"/>
              <w:numPr>
                <w:ilvl w:val="0"/>
                <w:numId w:val="4"/>
              </w:num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Титрованные растворы. Общая характеристика, использование в фармацевтическом анализе, классификация (по методам анализа). </w:t>
            </w:r>
          </w:p>
          <w:p>
            <w:pPr>
              <w:jc w:val="both"/>
              <w:numPr>
                <w:ilvl w:val="0"/>
                <w:numId w:val="4"/>
              </w:num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Молярность, титр, титр титранта по определяемому веществу, способы расчета молярности (М) и поправочного коэффициента. </w:t>
            </w:r>
          </w:p>
          <w:p>
            <w:pPr>
              <w:jc w:val="both"/>
              <w:numPr>
                <w:ilvl w:val="0"/>
                <w:numId w:val="4"/>
              </w:num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Методики приготовления титрованных растворов. </w:t>
            </w:r>
          </w:p>
          <w:p>
            <w:pPr>
              <w:jc w:val="both"/>
              <w:numPr>
                <w:ilvl w:val="0"/>
                <w:numId w:val="4"/>
              </w:num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Хранение титрованных растворов.</w:t>
            </w:r>
          </w:p>
          <w:p>
            <w:pPr>
              <w:jc w:val="both"/>
              <w:numPr>
                <w:ilvl w:val="0"/>
                <w:numId w:val="4"/>
              </w:num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общих статей ГФ XI</w:t>
            </w:r>
            <w:r>
              <w:rPr>
                <w:lang w:val="en-US"/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«Индикаторы» и «Реактивы». Изучение формул индикаторов. Интервалы перехода окраски индикаторов. Способы приготовления индикаторов, индикаторных смесей и реактивов. Хранение.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>
            <w:pPr>
              <w:jc w:val="both"/>
              <w:spacing w:after="80" w:before="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Изучить условия приготовления титрованных растворов согласно ОФС.1.3.0002.15 Титрованные растворы.  Результаты оформить в виде таблицы 2.1.</w:t>
            </w:r>
          </w:p>
          <w:p>
            <w:pPr>
              <w:ind w:left="6372" w:firstLine="708"/>
              <w:jc w:val="center"/>
              <w:rPr>
                <w:lang w:eastAsia="en-US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8"/>
                <w:szCs w:val="28"/>
              </w:rPr>
              <w:t>Таблица 2.1</w:t>
            </w:r>
          </w:p>
          <w:p>
            <w:pPr>
              <w:ind w:firstLine="540"/>
              <w:jc w:val="center"/>
              <w:rPr>
                <w:lang w:eastAsia="en-US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8"/>
                <w:szCs w:val="28"/>
              </w:rPr>
              <w:t xml:space="preserve">Условия приготовления титрованных растворов по ГФ </w:t>
            </w:r>
            <w:r>
              <w:rPr>
                <w:lang w:val="en-US" w:eastAsia="en-US"/>
                <w:rFonts w:ascii="Times New Roman" w:eastAsia="Calibri" w:hAnsi="Times New Roman"/>
                <w:b/>
                <w:sz w:val="28"/>
                <w:szCs w:val="28"/>
              </w:rPr>
              <w:t>XIV</w:t>
            </w:r>
            <w:r>
              <w:rPr>
                <w:lang w:eastAsia="en-US"/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  <w:tbl>
            <w:tblPr>
              <w:tblStyle w:val="10"/>
              <w:tblW w:w="9072" w:type="dxa"/>
              <w:tblLook w:val="01E0" w:firstRow="1" w:lastRow="1" w:firstColumn="1" w:lastColumn="1" w:noHBand="0" w:noVBand="0"/>
            </w:tblPr>
            <w:tblGrid>
              <w:gridCol w:w="3148"/>
              <w:gridCol w:w="1953"/>
              <w:gridCol w:w="2046"/>
              <w:gridCol w:w="1925"/>
            </w:tblGrid>
            <w:tr>
              <w:tc>
                <w:tcPr>
                  <w:tcW w:w="3296" w:type="dxa"/>
                  <w:vAlign w:val="center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Титрант</w:t>
                  </w: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Концентрации титрованных растворов, (моль/л)</w:t>
                  </w:r>
                </w:p>
              </w:tc>
              <w:tc>
                <w:tcPr>
                  <w:tcW w:w="204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Приготовление</w:t>
                  </w:r>
                </w:p>
              </w:tc>
              <w:tc>
                <w:tcPr>
                  <w:tcW w:w="208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Установка титра</w:t>
                  </w:r>
                </w:p>
              </w:tc>
            </w:tr>
            <w:tr>
              <w:tc>
                <w:tcPr>
                  <w:tcW w:w="3296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Раствор калия перманганата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0,02</w:t>
                  </w:r>
                </w:p>
              </w:tc>
              <w:tc>
                <w:tcPr>
                  <w:tcW w:w="2046" w:type="dxa"/>
                </w:tcPr>
                <w:p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</w:tcPr>
                <w:p>
                  <w:pPr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c>
                <w:tcPr>
                  <w:tcW w:w="3296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Раствор натрия гидроксида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1,0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2046" w:type="dxa"/>
                </w:tcPr>
                <w:p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</w:tcPr>
                <w:p>
                  <w:pPr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c>
                <w:tcPr>
                  <w:tcW w:w="3296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Раствор натрия тиосульфата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2046" w:type="dxa"/>
                </w:tcPr>
                <w:p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</w:tcPr>
                <w:p>
                  <w:pPr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rPr>
                <w:trHeight w:val="838" w:hRule="atLeast"/>
              </w:trPr>
              <w:tc>
                <w:tcPr>
                  <w:tcW w:w="3296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Раствор хлористоводородной кислоты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0,1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</w:tcPr>
                <w:p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</w:tcPr>
                <w:p>
                  <w:pPr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3296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Раствор йода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0,1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</w:tcPr>
                <w:p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</w:tcPr>
                <w:p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c>
                <w:tcPr>
                  <w:tcW w:w="3296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Раствор калия йодата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0,05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</w:tcPr>
                <w:p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</w:tcPr>
                <w:p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jc w:val="both"/>
              <w:spacing w:after="80" w:before="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Изучить условия приготовления Индикаторов согласно ОФС.1.3.0001.15 Результаты оформить в виде таблицы 2.2.</w:t>
            </w:r>
          </w:p>
          <w:p>
            <w:pPr>
              <w:ind w:left="6372" w:firstLine="708"/>
              <w:jc w:val="center"/>
              <w:rPr>
                <w:lang w:eastAsia="en-US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8"/>
                <w:szCs w:val="28"/>
              </w:rPr>
              <w:t>Таблица 2.2</w:t>
            </w:r>
          </w:p>
          <w:p>
            <w:pPr>
              <w:jc w:val="center"/>
              <w:spacing w:after="80" w:before="80"/>
              <w:rPr>
                <w:lang w:eastAsia="en-US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приготовления индикаторов</w:t>
            </w:r>
          </w:p>
          <w:tbl>
            <w:tblPr>
              <w:tblStyle w:val="21"/>
              <w:tblW w:w="0" w:type="auto"/>
              <w:tblLook w:val="01E0" w:firstRow="1" w:lastRow="1" w:firstColumn="1" w:lastColumn="1" w:noHBand="0" w:noVBand="0"/>
            </w:tblPr>
            <w:tblGrid>
              <w:gridCol w:w="3273"/>
              <w:gridCol w:w="2046"/>
              <w:gridCol w:w="1928"/>
              <w:gridCol w:w="2104"/>
            </w:tblGrid>
            <w:tr>
              <w:tc>
                <w:tcPr>
                  <w:tcW w:w="3296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Индикатор</w:t>
                  </w:r>
                </w:p>
              </w:tc>
              <w:tc>
                <w:tcPr>
                  <w:tcW w:w="1942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Приготовление</w:t>
                  </w:r>
                </w:p>
              </w:tc>
              <w:tc>
                <w:tcPr>
                  <w:tcW w:w="1960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Переход окраски индикатора</w:t>
                  </w:r>
                </w:p>
              </w:tc>
              <w:tc>
                <w:tcPr>
                  <w:tcW w:w="2153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Интервал рН перехода окраски индикатора</w:t>
                  </w:r>
                </w:p>
              </w:tc>
            </w:tr>
            <w:tr>
              <w:tc>
                <w:tcPr>
                  <w:tcW w:w="3296" w:type="dxa"/>
                  <w:vAlign w:val="center"/>
                </w:tcPr>
                <w:p>
                  <w:pPr>
                    <w:ind w:right="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Бромфеноловый синий</w:t>
                  </w:r>
                </w:p>
              </w:tc>
              <w:tc>
                <w:tcPr>
                  <w:tcW w:w="1942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0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c>
                <w:tcPr>
                  <w:tcW w:w="3296" w:type="dxa"/>
                  <w:vAlign w:val="center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Калий хромовокислый</w:t>
                  </w:r>
                </w:p>
              </w:tc>
              <w:tc>
                <w:tcPr>
                  <w:tcW w:w="1942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0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rPr>
                <w:trHeight w:val="718" w:hRule="atLeast"/>
              </w:trPr>
              <w:tc>
                <w:tcPr>
                  <w:tcW w:w="3296" w:type="dxa"/>
                  <w:vAlign w:val="center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Кислотный хром черный специальный</w:t>
                  </w:r>
                </w:p>
              </w:tc>
              <w:tc>
                <w:tcPr>
                  <w:tcW w:w="1942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0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c>
                <w:tcPr>
                  <w:tcW w:w="3296" w:type="dxa"/>
                  <w:vAlign w:val="center"/>
                </w:tcPr>
                <w:p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Крахмала раствор </w:t>
                  </w:r>
                </w:p>
              </w:tc>
              <w:tc>
                <w:tcPr>
                  <w:tcW w:w="1942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0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c>
                <w:tcPr>
                  <w:tcW w:w="3296" w:type="dxa"/>
                  <w:vAlign w:val="center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Метиловый оранжевый</w:t>
                  </w:r>
                </w:p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спиртовый раствор 0,1 %</w:t>
                  </w:r>
                </w:p>
              </w:tc>
              <w:tc>
                <w:tcPr>
                  <w:tcW w:w="1942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0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c>
                <w:tcPr>
                  <w:tcW w:w="3296" w:type="dxa"/>
                  <w:vAlign w:val="center"/>
                </w:tcPr>
                <w:p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Бромтимоловый синий</w:t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раствор0,1% спиртовый</w:t>
                  </w:r>
                </w:p>
              </w:tc>
              <w:tc>
                <w:tcPr>
                  <w:tcW w:w="1942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0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c>
                <w:tcPr>
                  <w:tcW w:w="3296" w:type="dxa"/>
                  <w:vAlign w:val="center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Фенолфталеин</w:t>
                  </w:r>
                </w:p>
              </w:tc>
              <w:tc>
                <w:tcPr>
                  <w:tcW w:w="1942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0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c>
                <w:tcPr>
                  <w:tcW w:w="3296" w:type="dxa"/>
                  <w:vAlign w:val="center"/>
                </w:tcPr>
                <w:p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Метилового красного раствор 0,05%</w:t>
                  </w:r>
                </w:p>
              </w:tc>
              <w:tc>
                <w:tcPr>
                  <w:tcW w:w="1942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0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c>
                <w:tcPr>
                  <w:tcW w:w="3296" w:type="dxa"/>
                  <w:vAlign w:val="center"/>
                </w:tcPr>
                <w:p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Бромфеноловогосинего раствор 0,1%</w:t>
                  </w:r>
                </w:p>
              </w:tc>
              <w:tc>
                <w:tcPr>
                  <w:tcW w:w="1942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0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</w:tcPr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Приготовить титрованный раствор по заданию преподавателя.</w:t>
            </w:r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приготовить титрованный раствор и установить молярность приготовленного раствора. Рассчитать поправочный коэффициент приготовленного титрованного раствора. Сделать заключение о приготовленном растворе.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Результаты оформить в виде таблицы 2.3.</w:t>
            </w:r>
          </w:p>
          <w:p>
            <w:pPr>
              <w:ind w:left="6372" w:firstLine="708"/>
              <w:jc w:val="center"/>
              <w:rPr>
                <w:lang w:eastAsia="en-US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8"/>
                <w:szCs w:val="28"/>
              </w:rPr>
              <w:t>Таблица 2.3</w:t>
            </w:r>
          </w:p>
          <w:p>
            <w:pPr>
              <w:ind w:left="708"/>
              <w:rPr>
                <w:lang w:eastAsia="en-US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8"/>
                <w:szCs w:val="28"/>
              </w:rPr>
              <w:t>Результаты приготовленного титрованного раствора _________</w:t>
            </w:r>
          </w:p>
          <w:tbl>
            <w:tblPr>
              <w:tblStyle w:val="3"/>
              <w:tblW w:w="0" w:type="auto"/>
              <w:tblLook w:val="01E0" w:firstRow="1" w:lastRow="1" w:firstColumn="1" w:lastColumn="1" w:noHBand="0" w:noVBand="0"/>
            </w:tblPr>
            <w:tblGrid>
              <w:gridCol w:w="1196"/>
              <w:gridCol w:w="2773"/>
              <w:gridCol w:w="2268"/>
              <w:gridCol w:w="3113"/>
            </w:tblGrid>
            <w:tr>
              <w:tc>
                <w:tcPr>
                  <w:tcW w:w="1196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Титрант</w:t>
                  </w:r>
                </w:p>
              </w:tc>
              <w:tc>
                <w:tcPr>
                  <w:tcW w:w="2773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Концентрация титрованного раствора, (моль/л)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Способ установления титра</w:t>
                  </w:r>
                </w:p>
              </w:tc>
              <w:tc>
                <w:tcPr>
                  <w:tcW w:w="3113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Результаты (химическое уравнение, все расчеты)</w:t>
                  </w:r>
                </w:p>
              </w:tc>
            </w:tr>
            <w:tr>
              <w:tc>
                <w:tcPr>
                  <w:tcW w:w="1196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3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jc w:val="both"/>
              <w:spacing w:after="80" w:before="8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Решить ситуационные задачи:</w:t>
            </w:r>
          </w:p>
          <w:p>
            <w:pPr>
              <w:ind w:left="284" w:hanging="284"/>
              <w:jc w:val="both"/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Рассчитайте навеску для приготовления 1000 мл титрованного раствора трилона Б (0,05 моль/л). М.м. трилона Б 372,24.</w:t>
            </w:r>
          </w:p>
          <w:p>
            <w:pPr>
              <w:ind w:left="284" w:hanging="284"/>
              <w:jc w:val="both"/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Рассчитайте навеску в мл для приготовления 500 мл титрованного раствора кислоты хлороводородной (0,1 моль/л) из 37% раствора (плотность 1,18). М.м. хлороводорода 36,46.</w:t>
            </w:r>
          </w:p>
          <w:p>
            <w:pPr>
              <w:ind w:left="284" w:hanging="284"/>
              <w:jc w:val="both"/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 Рассчитайте навеску в мл для приготовления 1000 мл титрованного раствора кислоты серной (0,1 моль/л) из 95% раствора (плотность 1,8340). М.м. кислоты серной 98,07.</w:t>
            </w:r>
          </w:p>
          <w:p>
            <w:pPr>
              <w:ind w:left="284" w:hanging="284"/>
              <w:jc w:val="both"/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 Рассчитайте навеску калия бромата для приготовления 500 мл титрованного раствора (0,1 моль/л) М.м. калия бромата 167,01.</w:t>
            </w:r>
          </w:p>
          <w:p>
            <w:pPr>
              <w:ind w:left="284" w:hanging="284"/>
              <w:jc w:val="both"/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 Рассчитайте навеску для приготовления 1000 мл титрованного раствора аммония тиоцианата (0,1 моль/л). Сколько мл раствора серебра нитрата (0,1 моль/л) с К 1,0000 необходимо взять для установки поправочного коэффициента к молярности (К) раствора аммония тиоцианата, чтобы на титрование израсходовалось 20,00 мл титранта? М.м. аммония тиоцианата 76,12. М.м. серебра нитрата 169,87.</w:t>
            </w:r>
          </w:p>
          <w:p>
            <w:pPr>
              <w:ind w:left="284" w:hanging="284"/>
              <w:jc w:val="both"/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 Рассчитайте К раствора натрия тиосульфата (0,1 моль/л), установленного по навеске калия бихромата (0,1002 г), если объем титранта 20,00 мл. М.м. калия бихромата 294,19.</w:t>
            </w:r>
          </w:p>
          <w:p>
            <w:pPr>
              <w:ind w:left="284" w:hanging="284"/>
              <w:jc w:val="both"/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 Приготовлено 2 л титрованного раствора кислоты хлороводородной (0,1 моль/л) с К 0,9625. Как исправить раствор? Титрованный раствор готовили из 37% раствора кислоты хлороводородной (плотность 1,17). М.м. хлороводорода 36,46.</w:t>
            </w:r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uppressAutoHyphens/>
              <w:jc w:val="both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</w:pP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ind w:left="0" w:firstLine="709"/>
              <w:contextualSpacing/>
              <w:jc w:val="both"/>
              <w:numPr>
                <w:ilvl w:val="0"/>
                <w:numId w:val="3"/>
              </w:numPr>
              <w:spacing w:after="0"/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ind w:left="0" w:firstLine="709"/>
              <w:contextualSpacing/>
              <w:jc w:val="both"/>
              <w:numPr>
                <w:ilvl w:val="0"/>
                <w:numId w:val="3"/>
              </w:numPr>
              <w:spacing w:after="0"/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журнал;</w:t>
            </w:r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1.3: рубежный контроль по теме модуля «Работа с нормативной документацией, приготовление реактивов»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обобщить и систематизировать знания по работе с нормативной документацией и методам приготовления и стандартизации титрованных растворов, реактивов, индикаторов, эталонных растворов.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704"/>
        <w:gridCol w:w="9577"/>
      </w:tblGrid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Фармацевтическая химия как наука, фармацевтическая терминология.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Объекты исследования фармацевтической химии.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Государственной фармакопеи X издания и её значение для оценки качества лекарственных средств.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Государственной фармакопеи X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издания и её значение для оценки качества лекарственных средств.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Государственной фармакопеи X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издания и её значение для оценки качества лекарственных средств.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Государственной фармакопеи X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издания и её значение для оценки качества лекарственных средств.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Государственной фармакопеи X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издания и её значение для оценки качества лекарственных средств.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Нормативная документация (НД), фармакопейные статьи (ФС), фармакопейные статьи предприятий (ФСП), общие фармакопейные статьи (ОФС), ГОСТ, ТУ, ОСТ, регламентирующие качество лекарственных средств.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государственного реестра лекарственных средств, регистров и классификаторов ЛС.  Международные непатентованные наименования (МНН) лекарственных веществ.  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применения терминов, понятий и методов, используемых в фармакопейных статьях.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Титрованные растворы</w:t>
            </w:r>
            <w:r>
              <w:rPr>
                <w:lang w:val="en-US"/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приготовление, стандартизация.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Титрованные растворы. Общая характеристика, использование в фармацевтическом анализе, классификация (по методам анализа).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Молярность, титр, титр титранта по определяемому веществу, способы расчета молярности (М) и поправочного коэффициента. 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Методики приготовления титрованных растворов. 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Хранение титрованных растворов.</w:t>
            </w:r>
          </w:p>
          <w:p>
            <w:pPr>
              <w:jc w:val="bot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общих статей ГФ XI</w:t>
            </w:r>
            <w:r>
              <w:rPr>
                <w:lang w:val="en-US"/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«Индикаторы» и «Реактивы». Изучение формул индикаторов. Интервалы перехода окраски индикаторов. Способы приготовления индикаторов, индикаторных смесей и реактивов. Хранение.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ind w:left="0" w:firstLine="709"/>
              <w:contextualSpacing/>
              <w:jc w:val="both"/>
              <w:numPr>
                <w:ilvl w:val="0"/>
                <w:numId w:val="3"/>
              </w:numPr>
              <w:spacing w:after="0"/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ind w:left="0" w:firstLine="709"/>
              <w:contextualSpacing/>
              <w:jc w:val="both"/>
              <w:numPr>
                <w:ilvl w:val="0"/>
                <w:numId w:val="3"/>
              </w:numPr>
              <w:spacing w:after="0"/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журнал;</w:t>
            </w:r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2. Фармацевтическая химия и фармакогнозия в практической деятельности провизора-аналитика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8"/>
          <w:szCs w:val="24"/>
        </w:rPr>
      </w:pP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2.1: установление подлинности лекарственных веществ по реакциям на их структурные фрагменты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Овладеть способами анализа качества неорганических лекарственных веществ, а кислородсодержащих, азотсодержащих и серосодержащих лекарственных веществ органического происхождения.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704"/>
        <w:gridCol w:w="9577"/>
      </w:tblGrid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adjustRightInd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2"/>
              </w:rPr>
              <w:t>Пробы и реакции идентификации катионов калия, 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>трия, аммония, магния, кальция, железа, цинка, свинца, висмута, ртути, се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2"/>
              </w:rPr>
              <w:t>ребра, меди (реактивы, условия, эффекты реакций).</w:t>
            </w:r>
          </w:p>
          <w:p>
            <w:pPr>
              <w:adjustRightInd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3"/>
              </w:rPr>
              <w:t xml:space="preserve">Реакции идентификации анионов: хлоридов, бромидов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 xml:space="preserve">иодидов, сульфатов, фосфатов, нитритов, нитратов, боратов, карбонатов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3"/>
              </w:rPr>
              <w:t>гидрокарбонатов (реактивы, условия, эффекты реакций).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группа. Монофункциональные, полифункциональные, гетерофункциональные группы. Кислородосодержащие ФГ, азотосодержащие ФГ, ФГ, которые нельзя обобщить по одному признаку.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Реакционная способность и реакции идентификации лекарственных средств, содержащих спиртовую гидроксильную группу, включая многоатомные спирты; фенольную гидроксильную группу, карбоксильную группу (укажите типы реакций, реактивы, условия, эффекты).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простой и сложной эфирной связей (тип реакции, реактивы, условия, эффекты).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Реакции идентификации лекарственных средств, содержащих альдегидную группу (тип реакции, реактивы, условия, эффекты). 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лекарственных средств, имеющих в структуре первичную ароматическую аминогруппу (реактивы, условия, эффекты реакций).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нитрогруппы, в том числе и ароматической.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сульфамидной группы (реактивы, условия, эффекты реакций).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амидов (первичных, вторичных и третичных) и гидразидов (реактивы, условия и эффекты реакций).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лекарственных средств, имеющих в структуре имидную группу (реактивы, условия, эффекты реакций).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лекарственных средств, имеющих в структуре ковалентно-связанную серу (реактивы, условия, эффекты реакций).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типы химических реакций, характерные для органических веществ по азотосодержащим ФГ. 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реакции конденсирования с карбонильными группами для установления подлинности лекарственных веществ из класса аминов.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лигниновой пробы для установления подлинности лекарственных веществ из класса аминов.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окислительной и восстановительной минерализации для установления подлинности лекарственных веществ из класса аминов.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нитритометрического метода в количественном анализе лекарственных веществ.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общеалкалоидных осадительных реактивов при испытании на подлинность лекарственных веществ из класса аминов.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алкалиметрического метода в количественном анализе лекарственных веществ.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спектрофотометрического метода в количественном анализе лекарственных веществ.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комплексонометрического метода в количественном анализе лекарственных веществ.</w:t>
            </w:r>
          </w:p>
          <w:p>
            <w:pPr>
              <w:jc w:val="bot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Применение куприметрического метода в количественном анализе лекарственных веществ.</w:t>
            </w:r>
          </w:p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Объекты исследования: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резорцин, натрия салицилат, пиродоксина гидрохлорид, парацетамол, салициловая кислота, никотиновая кислота, уксусная кислота, калия ацетат, кальция глюконат, папаверина гидрохлорид, прокаина гидрохлорид, кофеин бензоат натрия, нитрофурал, хлорамфеникол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(написать структурные формулы лекарственных веществ, выделить функциональные группы)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гидроксильной группы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 xml:space="preserve">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1. Реакция образования сложных эфиров.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 1 мл этанола прибавляют 0,5 мл ледяной уксусной кислоты, 1 мл концентрированной серной кислоты и осторожно нагревают, ощущается характерный запах этилацетата.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2. Реакции окисления.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0,5 мл этанола смешивают с 5 мл раствора гидроксида натрия, прибавляют 2 мл 0,1 н раствора иода - ощущается запах йодоформа и постепенно образуется желтый осадок йодоформа.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3. Взаимодействие с раствором меди сульфата.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нескольким крупинкам левомицетина прибавляют 3 капли раствора меди(</w:t>
            </w:r>
            <w:r>
              <w:rPr>
                <w:lang w:val="en-US"/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)сульфата и 0,5 мл раствора натрия гидроксида, через 1 минуту взбалтывают с 0,5 мл н-бутанола. Спиртовый слой окрашивается в сине-фиолетовый цвет.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0,5 мл глицерина прибавляют по 5 капель растворов гидроксида натрия и сульфата меди (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 появляется интенсивное синее окрашивание (глицерат меди).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Определение фенольной гидроксильной группы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1. Проба с раствором железа (</w:t>
            </w:r>
            <w:r>
              <w:rPr>
                <w:lang w:val="en-US"/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III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) хлорида.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1мл водного раствора (1:100) (резорцина, пиридоксина гидрохлорида, натрия салицилата, натрия пара-аминосалицилата, спиртового раствора парацетамола) прибавляет 2 капли раствора железа (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хлорида - появляется характерное окрашивание.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заносят в таблицу 1.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Таблица 1.</w:t>
            </w:r>
          </w:p>
          <w:tbl>
            <w:tblPr>
              <w:tblW w:w="0" w:type="auto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6"/>
              <w:gridCol w:w="2831"/>
              <w:gridCol w:w="3386"/>
            </w:tblGrid>
            <w:tr>
              <w:tc>
                <w:tcPr>
                  <w:tcW w:w="2700" w:type="dxa"/>
                  <w:vAlign w:val="center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</w:rPr>
                    <w:t>Препарат</w:t>
                  </w:r>
                </w:p>
              </w:tc>
              <w:tc>
                <w:tcPr>
                  <w:tcW w:w="3107" w:type="dxa"/>
                  <w:vAlign w:val="center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</w:rPr>
                    <w:t>Растворитель</w:t>
                  </w:r>
                </w:p>
              </w:tc>
              <w:tc>
                <w:tcPr>
                  <w:tcW w:w="3972" w:type="dxa"/>
                  <w:vAlign w:val="center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</w:rPr>
                    <w:t>Окраска</w:t>
                  </w:r>
                </w:p>
              </w:tc>
            </w:tr>
            <w:tr>
              <w:tc>
                <w:tcPr>
                  <w:tcW w:w="2700" w:type="dxa"/>
                  <w:vAlign w:val="center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Резорцин</w:t>
                  </w:r>
                </w:p>
              </w:tc>
              <w:tc>
                <w:tcPr>
                  <w:tcW w:w="3107" w:type="dxa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8"/>
                      <w:u w:val="single" w:color="auto"/>
                    </w:rPr>
                  </w:pPr>
                </w:p>
              </w:tc>
              <w:tc>
                <w:tcPr>
                  <w:tcW w:w="3972" w:type="dxa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8"/>
                      <w:u w:val="single" w:color="auto"/>
                    </w:rPr>
                  </w:pPr>
                </w:p>
              </w:tc>
            </w:tr>
            <w:tr>
              <w:tc>
                <w:tcPr>
                  <w:tcW w:w="2700" w:type="dxa"/>
                  <w:vAlign w:val="center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Натрия салицилат</w:t>
                  </w:r>
                </w:p>
              </w:tc>
              <w:tc>
                <w:tcPr>
                  <w:tcW w:w="3107" w:type="dxa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8"/>
                      <w:u w:val="single" w:color="auto"/>
                    </w:rPr>
                  </w:pPr>
                </w:p>
              </w:tc>
              <w:tc>
                <w:tcPr>
                  <w:tcW w:w="3972" w:type="dxa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8"/>
                      <w:u w:val="single" w:color="auto"/>
                    </w:rPr>
                  </w:pPr>
                </w:p>
              </w:tc>
            </w:tr>
            <w:tr>
              <w:tc>
                <w:tcPr>
                  <w:tcW w:w="2700" w:type="dxa"/>
                  <w:vAlign w:val="center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Пиридоксина г/хл</w:t>
                  </w:r>
                </w:p>
              </w:tc>
              <w:tc>
                <w:tcPr>
                  <w:tcW w:w="3107" w:type="dxa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8"/>
                      <w:u w:val="single" w:color="auto"/>
                    </w:rPr>
                  </w:pPr>
                </w:p>
              </w:tc>
              <w:tc>
                <w:tcPr>
                  <w:tcW w:w="3972" w:type="dxa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8"/>
                      <w:u w:val="single" w:color="auto"/>
                    </w:rPr>
                  </w:pPr>
                </w:p>
              </w:tc>
            </w:tr>
            <w:tr>
              <w:tc>
                <w:tcPr>
                  <w:tcW w:w="2700" w:type="dxa"/>
                  <w:vAlign w:val="center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Парацетомол</w:t>
                  </w:r>
                </w:p>
              </w:tc>
              <w:tc>
                <w:tcPr>
                  <w:tcW w:w="3107" w:type="dxa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8"/>
                      <w:u w:val="single" w:color="auto"/>
                    </w:rPr>
                  </w:pPr>
                </w:p>
              </w:tc>
              <w:tc>
                <w:tcPr>
                  <w:tcW w:w="3972" w:type="dxa"/>
                </w:tcPr>
                <w:p>
                  <w:pPr>
                    <w:ind w:firstLine="126"/>
                    <w:jc w:val="both"/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8"/>
                      <w:u w:val="single" w:color="auto"/>
                    </w:rPr>
                  </w:pPr>
                </w:p>
              </w:tc>
            </w:tr>
          </w:tbl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 xml:space="preserve">) Реакции окисления или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 w:color="auto"/>
              </w:rPr>
              <w:t>окислительной конденсации.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 Индофеноловая проба.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0,05 г препарата растворяют в 0,5 мл раствора аммиака и добавляют 3-4 капли раствора хлорамина. Нагревают на кипящей водяной бане. Через несколько минут появляется сине-зеленая окраска, при последующем прибавлении кислоты изменяющаяся на красную (кислота салициловая реакцию не дает!).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 Взаимодействие с реактивом Марки.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Несколько кристаллов кислоты салициловой помещают на часовое стекло и смачивают 2-3 каплями реактива Марки - появляется красное окрашивание.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3. Реакции электрофильного замещения.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 Нитрозореакция Либермана.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0,01 г препарата (натрия салицилат, резорцин) помещают на предметное стекло, смачивают 2-3 каплями 1% раствора нитрита натрия в концентрированной серной кислоте. Наблюдается окрашивание, изменяющееся при добавлении раствора щелочи. Полученный цвет сравните с окраской индофенолов, приведенной в таблице 2.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Таблица 2.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7"/>
              <w:gridCol w:w="3145"/>
              <w:gridCol w:w="3001"/>
            </w:tblGrid>
            <w:tr>
              <w:tc>
                <w:tcPr>
                  <w:tcW w:w="3296" w:type="dxa"/>
                  <w:vAlign w:val="center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i/>
                      <w:color w:val="000000"/>
                      <w:szCs w:val="28"/>
                      <w:u w:val="single" w:color="auto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Cs w:val="28"/>
                    </w:rPr>
                    <w:t>Препарат</w:t>
                  </w:r>
                </w:p>
              </w:tc>
              <w:tc>
                <w:tcPr>
                  <w:tcW w:w="3585" w:type="dxa"/>
                  <w:vAlign w:val="center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i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Cs w:val="28"/>
                    </w:rPr>
                    <w:t>До добавления щелочи</w:t>
                  </w:r>
                </w:p>
              </w:tc>
              <w:tc>
                <w:tcPr>
                  <w:tcW w:w="3379" w:type="dxa"/>
                  <w:vAlign w:val="center"/>
                </w:tcPr>
                <w:p>
                  <w:pPr>
                    <w:jc w:val="both"/>
                    <w:spacing w:after="0"/>
                    <w:rPr>
                      <w:rFonts w:ascii="Times New Roman" w:hAnsi="Times New Roman"/>
                      <w:i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Cs w:val="28"/>
                    </w:rPr>
                    <w:t>После добавления щелочи</w:t>
                  </w:r>
                </w:p>
              </w:tc>
            </w:tr>
            <w:tr>
              <w:tc>
                <w:tcPr>
                  <w:tcW w:w="3296" w:type="dxa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Фенол</w:t>
                  </w:r>
                </w:p>
              </w:tc>
              <w:tc>
                <w:tcPr>
                  <w:tcW w:w="3585" w:type="dxa"/>
                  <w:vAlign w:val="center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темно-зеленая</w:t>
                  </w:r>
                </w:p>
              </w:tc>
              <w:tc>
                <w:tcPr>
                  <w:tcW w:w="3379" w:type="dxa"/>
                  <w:vAlign w:val="center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вишнево-красная</w:t>
                  </w:r>
                </w:p>
              </w:tc>
            </w:tr>
            <w:tr>
              <w:tc>
                <w:tcPr>
                  <w:tcW w:w="3296" w:type="dxa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Синэстрол</w:t>
                  </w:r>
                </w:p>
              </w:tc>
              <w:tc>
                <w:tcPr>
                  <w:tcW w:w="3585" w:type="dxa"/>
                  <w:vAlign w:val="center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красно-фиолетовая</w:t>
                  </w:r>
                </w:p>
              </w:tc>
              <w:tc>
                <w:tcPr>
                  <w:tcW w:w="3379" w:type="dxa"/>
                  <w:vAlign w:val="center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фиолетовая</w:t>
                  </w:r>
                </w:p>
              </w:tc>
            </w:tr>
            <w:tr>
              <w:tc>
                <w:tcPr>
                  <w:tcW w:w="3296" w:type="dxa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Тимол</w:t>
                  </w:r>
                </w:p>
              </w:tc>
              <w:tc>
                <w:tcPr>
                  <w:tcW w:w="3585" w:type="dxa"/>
                  <w:vAlign w:val="center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сине-зеленая</w:t>
                  </w:r>
                </w:p>
              </w:tc>
              <w:tc>
                <w:tcPr>
                  <w:tcW w:w="3379" w:type="dxa"/>
                  <w:vAlign w:val="center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i/>
                      <w:color w:val="000000"/>
                      <w:szCs w:val="28"/>
                      <w:u w:val="single" w:color="auto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фиолетовая</w:t>
                  </w:r>
                </w:p>
              </w:tc>
            </w:tr>
            <w:tr>
              <w:tc>
                <w:tcPr>
                  <w:tcW w:w="3296" w:type="dxa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Резорцин</w:t>
                  </w:r>
                </w:p>
              </w:tc>
              <w:tc>
                <w:tcPr>
                  <w:tcW w:w="3585" w:type="dxa"/>
                  <w:vAlign w:val="center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фиолетово-черная</w:t>
                  </w:r>
                </w:p>
              </w:tc>
              <w:tc>
                <w:tcPr>
                  <w:tcW w:w="3379" w:type="dxa"/>
                  <w:vAlign w:val="center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i/>
                      <w:color w:val="000000"/>
                      <w:szCs w:val="28"/>
                      <w:u w:val="single" w:color="auto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фиолетовая</w:t>
                  </w:r>
                </w:p>
              </w:tc>
            </w:tr>
          </w:tbl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 Реакция бромирования.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водному раствору препарата (1:100 — 1:200) (натрия салицилат, резорцин) прибавляют несколько капель бромной воды и разведенной серной кислоты: образуются осадки бромпроизводных. 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в) Реакция образования азокрасителя.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1 мл водного раствора (1:100) натрия салицилата, резорцина, спиртового раствора кислоты салициловой добавляют 0,5 мл раствора аммиака и 4 капли диазореактива- наблюдается окрашивание. 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Определение альдегидной группы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1. Реакции окисления.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 Реакция образования «серебряного зеркала».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пробирку помещают 1 мл раствора нитрата серебра, 1-2 капли раствора натрия гидроксида, осадок оксида серебра растворяют добавлением по каплям раствора аммиака, прибавляют 2-3 капли раствора препарата (формалина, 5% раствора гексаметилентетрамина, 10% раствора глюкозы, 1% раствора стрептомицина сульфата), кипятят 1 -2 минуты, при этом выделяется металлическое серебро.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 Взаимодействие с реактивом Фелинга.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1 мл раствора препарата, содержащего 0,01 -0,02 г вещества (см. предыдущую методику), прибавляют 2 мл реактива Фелинга, нагревают до кипения. Выделяется кирпично-красный осадок оксида меди (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2) Реакция взаимодействия с реактивом Несслера.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2-3 каплям раствора альдегида (формалина, 5% раствора гексаметилентетрамина, 10% раствора глюкозы, 1% раствора стрептомицина сульфата) прибавляют 2-3 капли реактива Несслера и нагревают. Выделяется темный осадок металлической ртути.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Определение карбоксильной группы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1) Реакция образования солей или комплексных соединений с ионами тяжелых металлов.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Около 0,1 г лекарственного вещества (бензойной, никотиновой или 2-3 капли уксусной кислоты) взбалтывают с 3 мл 0,1моль/л раствора натрия гидроксида, прибавляют 3 мл воды, жидкость фильтруют, фильтрат делят на 2 части. К одной части прибавляют 2 капли раствора железа (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)хлорида, к другой – 2 капли раствора меди(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)сульфата. Карбоновые кислоты окрашивают синюю лакмусовую бумагу в красный цвет.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Определение простой эфирной группы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Образование оксониевых солей.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часовое стекло наносят 3-4 капли концентрированной серной кислоты и прибавляют 0,02 г димедрола: появляется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ярко-желтое окрашивание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постепенно переходящее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в кирпично-красное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 добавлении воды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окраска исчезает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Определение сложно - эфирной группы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1) Реакция гидролиза.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Около 0,1 г кислоты ацетилсалициловой кипятят в течение 3 минут с 5 мл раствора натрия гидроксида, охлаждают и подкисляют разведенной хлороводородной кислотой - выделяется белый кристаллический осадок (салициловая кислота). Раствор сливают в другую пробирку и добавляют к нему 2 мл 95% спирта и 2 мл концентрированной серной кислоты, при этом ощущается запах уксусно-этилового эфира. К части осадка добавляют 1-2 капли раствора железа (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)хлорида - появляется фиолетовое окрашивание, к другой части осадка прибавляют реактив Марки и нагревают - появляется красное окрашивание.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2) Гидроксамовая реакция.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0,02 г лекарственного вещества (прокаина гидрохлорид, кислота ацетилсалициловая,) растворяют в 3 мл 95% спирта, прибавляют 1 мл щелочного раствора гидроксиламина, встряхивают и ставят на кипящую баню на 5 минут. Затем добавляют 2 мл разведенной хлороводородной кислоты делят раствор на две части: в одну часть добавляют 0,5 мл 10% раствора железа (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хлорида в 0,1 М растворе хлороводородной кислоты, в другую раствор меди(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)сульфат. Появляется характерное окрашивание.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Определение первичной ароматической аминогруппы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1) Реакция образования азокрасителя.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0,05г лекарственного вещества (бензокаин, прокаина гидрохлорид, сульфацетамид натрия, сульфадиметоксин, сульфален) растворяют в 1мл разведенной хлороводородной кислоте, прибавляют 2-3 капли раствора натрия нитрита, полученный раствор прибавляют (каплями) к 1-2 мл щелочного раствора β-нафтола. Появляется оранжево-красное окрашивание.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2) Реакция образования оснований Шиффа (лигниновая проба).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Крупинку исследуемого препарата - ароматического амина - помещают на бумагу, содержащую лигнин, и прибавляют 1 каплю разведенной хлороводородной 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слоты. Появляется желто-оранжевое окрашивание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3) Реакция электрофильного замещения.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0,01-0,02 г лекарственного вещества (бензокаин, прокаина гидрохлорид, натрия пара-аминосалицилат) прибавляют 0,5 мл раствора 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-диметиламинобензальдегида в концентрированной серной кислоте, 1 мл концентрированной серной кислоты, появляется желтое или оранжевое окрашивание.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Определение ароматической нитрогруппы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1) Образование аци-соли.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Около 0,01 г лекарственного вещества (нитрофурал, нитроксолин, хлорамфеникол) растворяют в воде, прибавляют 2-3 капли спиртового раствора натрия гидроксида (в случае хлорамфеникола нагревают) и наблюдают возникновение или изменение окраски.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интенсивное окрашивание аци-соли появляется в среде неводных растворителей (ацетон, диметилформамид).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уравнение реакции, эффект реакции внести в таблицу 2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Таблица 2.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71"/>
              <w:gridCol w:w="3087"/>
              <w:gridCol w:w="3193"/>
            </w:tblGrid>
            <w:tr>
              <w:tc>
                <w:tcPr>
                  <w:tcW w:w="3071" w:type="dxa"/>
                  <w:vAlign w:val="center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Препарат</w:t>
                  </w:r>
                </w:p>
              </w:tc>
              <w:tc>
                <w:tcPr>
                  <w:tcW w:w="3087" w:type="dxa"/>
                  <w:vAlign w:val="center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Реактив</w:t>
                  </w:r>
                </w:p>
              </w:tc>
              <w:tc>
                <w:tcPr>
                  <w:tcW w:w="3193" w:type="dxa"/>
                  <w:vAlign w:val="center"/>
                </w:tcPr>
                <w:p>
                  <w:pPr>
                    <w:ind w:firstLine="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Окрашивание, осадок</w:t>
                  </w:r>
                </w:p>
              </w:tc>
            </w:tr>
            <w:tr>
              <w:tc>
                <w:tcPr>
                  <w:tcW w:w="3071" w:type="dxa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Нитрофурал</w:t>
                  </w:r>
                </w:p>
              </w:tc>
              <w:tc>
                <w:tcPr>
                  <w:tcW w:w="3087" w:type="dxa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93" w:type="dxa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>
              <w:tc>
                <w:tcPr>
                  <w:tcW w:w="3071" w:type="dxa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Хлорамфеникол</w:t>
                  </w:r>
                </w:p>
              </w:tc>
              <w:tc>
                <w:tcPr>
                  <w:tcW w:w="3087" w:type="dxa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93" w:type="dxa"/>
                </w:tcPr>
                <w:p>
                  <w:pPr>
                    <w:ind w:firstLine="709"/>
                    <w:jc w:val="both"/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2) Восстановление ароматической нитрогруппы.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 е т о д и к а. К 0,1 г лекарственного вещества (хлорамфеникола, нитроксолина) прибавляют 5 мл 25% раствора кислоты хлороводородной и 0,3 г цинковой пыли, кипятят в течение 3-4 минут. После охлаждения фильтруют. К 2 мл фильтрата добавляют 2 мл 1 (моль/л) раствора натрия нитрита, перемешивают и 1-2 капли полученной смеси прибавляют к 2 мл свежеприготовленного раствора β-нафтола - появляется оранжево-красное окрашивание.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Определение ковалентно-связанной серы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1) Окислительная минерализация.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0,01 г серосодержащего соединения (пенициллины, цефалоспорины) в пробирке прибавляют 2-3 мл концентрированной азотной кислоты и кипятят в течение 2-3 минут. По охлаждения фильтруют через двойной фильтр. К фильтрату прибавляют 0,5 мл разведенной хлороводородной кислоты и 1 мл раствора бария хлорида - выпадает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 xml:space="preserve">белый осадок.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2) Восстановительная минерализация.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0,2 г (сульфаниламиды) растворяют в 5 мл раствора натрия гидроксида, прибавляют 2 мл раствора свинца ацетата и кипятят - выпадает темный осадок. При охлаждении и подкислении концентрированной хлористоводородной кислотой. Выделяется сероводород, обнаруживаемый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по запаху и по потемнению фильтровальной бумаги,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смоченной раствором ацетата свинца.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Определение амидной группы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 w:color="auto"/>
              </w:rPr>
              <w:t>Гидролиз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0,1 г препарата нагревают с 2 мл 0,1 н. раствора натрия гидроксида; появляется запах аммиака. При внесении в выделяющиеся пары влажной красной лакмусовой бумажки ее окраска становится синей.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Определение имидной группы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Образование комплексных соединений с ионами тяжелых металлов.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0,05 г препарата (барбитал, фенобарбитал, теобромин) растворяют в 0,1 н растворе натрия гидроксида (до слабо-розового окрашивания по фенолфталеину). Полученный раствор разливают в три пробирки и в каждую прибавляют по 2-3 капли растворов железа (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хлорида, кобальта нитрата и меди сульфата. Отмечают полученные эффекты реакций.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Определение сульфамидной группы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Образование комплексных соединений с ионами тяжелых металлов.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0,1 г препарата (норсульфазол) взбалтывают с 3 мл 0,1 н раствора гидроксида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трия, фильтруют. К фильтрату прибавляют 1 мл раствора меди сульфата образуется осадок грязно-фиолетового цвета.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Определение гидразидной группы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 xml:space="preserve">1) Реакция комплексообразования.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0,1 г препарата (изониазид) растворяют в 5 мл воды и прибавляют 4-6 капель раствора меди сульфата; выделяется голубой Осадок, при встряхивании раствор также окрашивается в голубой цвет. При нагревании раствор иосадок становятся светло-зеленого, а затем желто-зеленого цвета, выделяются пузырьки газа.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Написать уравнение реакции, отметить эффект реакции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 w:color="auto"/>
              </w:rPr>
              <w:t>2) Реакция окисления.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  <w:t>М е т о д и 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0,01 г препарата (изониазид) растворяют в 2 мл воды и прибавляют 1 мл аммиачного раствора серебра нитрата, появляется желтоватый осадок, который при нагревании на водяной бане темнеет и на стенках пробирки образуется серебряное зеркало.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уравнение реакции, отметить эффект реакции</w:t>
            </w:r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</w:pP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ind w:left="0" w:firstLine="709"/>
              <w:contextualSpacing/>
              <w:jc w:val="both"/>
              <w:numPr>
                <w:ilvl w:val="0"/>
                <w:numId w:val="3"/>
              </w:numPr>
              <w:spacing w:after="0"/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ind w:left="0" w:firstLine="709"/>
              <w:contextualSpacing/>
              <w:jc w:val="both"/>
              <w:numPr>
                <w:ilvl w:val="0"/>
                <w:numId w:val="3"/>
              </w:numPr>
              <w:spacing w:after="0"/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журнал;</w:t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2.2: испытание на чистоту лекарственных веществ и установление пределов содержания примесей химическими и физико-химическими методами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научиться проводить испытания на чистоту и общие пределы примесей в лекарственных средствах.</w:t>
      </w: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ind w:firstLine="709"/>
        <w:jc w:val="both"/>
        <w:spacing w:after="0"/>
        <w:rPr>
          <w:rFonts w:ascii="Times New Roman" w:hAnsi="Times New Roman"/>
          <w:i/>
          <w:color w:val="000000"/>
          <w:sz w:val="28"/>
          <w:szCs w:val="28"/>
          <w:spacing w:val="-4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704"/>
        <w:gridCol w:w="9577"/>
      </w:tblGrid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jc w:val="both"/>
              <w:numPr>
                <w:ilvl w:val="0"/>
                <w:numId w:val="7"/>
              </w:num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источники и причины недоброкачественности лекарственных средств.</w:t>
            </w:r>
          </w:p>
          <w:p>
            <w:pPr>
              <w:jc w:val="both"/>
              <w:numPr>
                <w:ilvl w:val="0"/>
                <w:numId w:val="7"/>
              </w:num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Опишите природу и характер примесей. Специфические и неспецифические (общие) примеси. Допустимые и недопустимые примеси.</w:t>
            </w:r>
          </w:p>
          <w:p>
            <w:pPr>
              <w:jc w:val="both"/>
              <w:numPr>
                <w:ilvl w:val="0"/>
                <w:numId w:val="7"/>
              </w:num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Опишите общие требования к испытаниям на чистоту. Эталонный и безэталонный способы определения примесей в лекарственных препаратах.</w:t>
            </w:r>
          </w:p>
          <w:p>
            <w:pPr>
              <w:jc w:val="both"/>
              <w:numPr>
                <w:ilvl w:val="0"/>
                <w:numId w:val="7"/>
              </w:num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общие замечания по проведению испытаний на чистоту и допустимые пределы примесей.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>
            <w:pPr>
              <w:jc w:val="both"/>
              <w:spacing w:after="8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both"/>
              <w:spacing w:after="8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Определение примесей неорганических ионов в фармацевтических субстанциях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ОФС Испытания на чистоту и допустимые пределы примесей, опишите методики приготовления эталонных растворов на хлориды, сульфаты, фосфаты, тяжелые металлы, железо, кальций, цинк, соли аммония.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Напишите уравнения химических реакций, лежащих о основе их обнаружения.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Результаты оформить в виде таблицы 3.1.</w:t>
            </w:r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Таблица 3.1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испытаний на содержание допустимых примесей в фармацевтических субстанциях  (эталонный способ)  </w:t>
            </w:r>
          </w:p>
          <w:tbl>
            <w:tblPr>
              <w:tblStyle w:val="afffff1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1276"/>
              <w:gridCol w:w="1275"/>
              <w:gridCol w:w="3261"/>
              <w:gridCol w:w="1701"/>
              <w:gridCol w:w="986"/>
            </w:tblGrid>
            <w:tr>
              <w:trPr>
                <w:cantSplit/>
                <w:trHeight w:val="2362" w:hRule="atLeast"/>
              </w:trPr>
              <w:tc>
                <w:tcPr>
                  <w:tcW w:w="846" w:type="dxa"/>
                  <w:textDirection w:val="btLr"/>
                </w:tcPr>
                <w:p>
                  <w:pPr>
                    <w:ind w:left="113" w:right="113"/>
                    <w:jc w:val="both"/>
                    <w:spacing w:after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Определяемая примесь</w:t>
                  </w:r>
                </w:p>
              </w:tc>
              <w:tc>
                <w:tcPr>
                  <w:tcW w:w="1276" w:type="dxa"/>
                  <w:textDirection w:val="btLr"/>
                </w:tcPr>
                <w:p>
                  <w:pPr>
                    <w:ind w:left="113" w:right="113"/>
                    <w:jc w:val="both"/>
                    <w:spacing w:after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Основной реактив</w:t>
                  </w:r>
                </w:p>
              </w:tc>
              <w:tc>
                <w:tcPr>
                  <w:tcW w:w="1275" w:type="dxa"/>
                  <w:textDirection w:val="btLr"/>
                </w:tcPr>
                <w:p>
                  <w:pPr>
                    <w:ind w:left="113" w:right="113"/>
                    <w:jc w:val="both"/>
                    <w:spacing w:after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Вспомогательный реактив</w:t>
                  </w:r>
                </w:p>
              </w:tc>
              <w:tc>
                <w:tcPr>
                  <w:tcW w:w="3261" w:type="dxa"/>
                  <w:textDirection w:val="btLr"/>
                </w:tcPr>
                <w:p>
                  <w:pPr>
                    <w:ind w:left="113" w:right="113"/>
                    <w:jc w:val="both"/>
                    <w:spacing w:after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Уравнение реакции</w:t>
                  </w:r>
                </w:p>
              </w:tc>
              <w:tc>
                <w:tcPr>
                  <w:tcW w:w="1701" w:type="dxa"/>
                  <w:textDirection w:val="btLr"/>
                </w:tcPr>
                <w:p>
                  <w:pPr>
                    <w:ind w:left="113" w:right="113"/>
                    <w:jc w:val="both"/>
                    <w:spacing w:after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 испытаний (указать время выдерживания и фон наблюдения)</w:t>
                  </w:r>
                </w:p>
              </w:tc>
              <w:tc>
                <w:tcPr>
                  <w:tcW w:w="986" w:type="dxa"/>
                  <w:textDirection w:val="btLr"/>
                </w:tcPr>
                <w:p>
                  <w:pPr>
                    <w:ind w:left="113" w:right="113"/>
                    <w:jc w:val="both"/>
                    <w:spacing w:after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</w:tc>
            </w:tr>
            <w:tr>
              <w:tc>
                <w:tcPr>
                  <w:tcW w:w="846" w:type="dxa"/>
                </w:tcPr>
                <w:p>
                  <w:pPr>
                    <w:jc w:val="both"/>
                    <w:spacing w:after="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jc w:val="both"/>
                    <w:spacing w:after="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jc w:val="both"/>
                    <w:spacing w:after="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>
                  <w:pPr>
                    <w:jc w:val="both"/>
                    <w:spacing w:after="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jc w:val="both"/>
                    <w:spacing w:after="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>
                  <w:pPr>
                    <w:jc w:val="both"/>
                    <w:spacing w:after="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both"/>
              <w:spacing w:after="8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 10 мл испытуемого и 10 мл эталонного растворов прибавляют одновременно и в одинаковых количествах все реактивы, указанные в методике. Через определенное время сравнивают пробирки между собой. Наблюдения мути и опалесценции растворов проводят в проходящем свете на темном фоне, а окраски – по оси пробирок при дневном отраженном свете на матово-белом фоне. Опалесценция (или окраска), появившаяся в испытуемом растворе, не должна превышать опалесценцию (или окраску) эталонного раствора.</w:t>
            </w:r>
          </w:p>
          <w:p>
            <w:pPr>
              <w:jc w:val="both"/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both"/>
              <w:spacing w:after="80" w:before="8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 ситуационных задач: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Рассчитайте навеску для приготовления 250 мл эталонного раствора хлор-иона. М.м. соли 58,44. </w:t>
            </w:r>
            <w:r>
              <w:rPr>
                <w:lang w:val="en-US"/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.м. хлора 35,45.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Рассчитайте навеску для приготовления 500 мл эталонного раствора сульфат-иона. М.м. соли 174,27. М.м. сульфат-иона 96,07.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Рассчитайте навеску для приготовления 250 мл эталонного раствора аммоний-иона. М.м. соли 53,49. М.м. аммиака 17,03.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Рассчитайте навеску для приготовления 100 мл эталонного раствора кальций-иона. М.м. соли 100,09. М.м. кальций-иона 40,08.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Рассчитайте навеску для приготовления 500 мл эталонного раствора железо (</w:t>
            </w:r>
            <w:r>
              <w:rPr>
                <w:lang w:val="en-US"/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)- иона из 0,1% раствора железо (</w:t>
            </w:r>
            <w:r>
              <w:rPr>
                <w:lang w:val="en-US"/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)- иона. 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Рассчитайте навеску для приготовления 1000 мл эталонного раствора цинк-иона. М.м. соли 81,37. М.м. цинк-иона 65,37.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Рассчитайте навеску для приготовления 200 мл эталонного раствора свинец-иона. М.м. соли 379,33. М.м. свинец-иона 207,20.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Рассчитайте навеску для приготовления 250 мл эталонного раствора мышьяка. А.м. мышьяка 74,92. М.м. оксида мышьяка 197,84.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</w:rPr>
            </w:pP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журнал;</w:t>
            </w:r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2.3: спектрофотометрическое определение лекарственных средств в видимой, УФ- и ИК-областях и интерпретация полученных результатов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научиться проводить спектрофотометрическое определение лекарственных средств.</w:t>
      </w: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ind w:firstLine="709"/>
        <w:jc w:val="both"/>
        <w:spacing w:after="0"/>
        <w:rPr>
          <w:rFonts w:ascii="Times New Roman" w:hAnsi="Times New Roman"/>
          <w:i/>
          <w:color w:val="000000"/>
          <w:sz w:val="28"/>
          <w:szCs w:val="28"/>
          <w:spacing w:val="-4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704"/>
        <w:gridCol w:w="9577"/>
      </w:tblGrid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pStyle w:val="af3"/>
              <w:jc w:val="both"/>
              <w:numPr>
                <w:ilvl w:val="0"/>
                <w:numId w:val="8"/>
              </w:num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Количественный фотометрический анализ: условия фотометрического определения; определение концентрации анализируемого раствора: метод градуировочного графика, метод одного стандарта, метод добавок серий; определение концентраций нескольких веществ при совместном присутствии.</w:t>
            </w:r>
          </w:p>
          <w:p>
            <w:pPr>
              <w:pStyle w:val="af3"/>
              <w:jc w:val="both"/>
              <w:numPr>
                <w:ilvl w:val="0"/>
                <w:numId w:val="8"/>
              </w:num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Дифференциальный фотометрический анализ: сущность метода; способы определения концентраций.</w:t>
            </w:r>
          </w:p>
          <w:p>
            <w:pPr>
              <w:pStyle w:val="af3"/>
              <w:jc w:val="both"/>
              <w:numPr>
                <w:ilvl w:val="0"/>
                <w:numId w:val="8"/>
              </w:num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Погрешности фотометрического анализа, их природа, устранение. </w:t>
            </w:r>
          </w:p>
          <w:p>
            <w:pPr>
              <w:ind w:left="360"/>
              <w:jc w:val="both"/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left="360"/>
              <w:jc w:val="both"/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>
            <w:pPr>
              <w:jc w:val="both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both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>
            <w:pPr>
              <w:jc w:val="both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pStyle w:val="af3"/>
              <w:ind w:firstLine="0"/>
              <w:jc w:val="both"/>
              <w:numPr>
                <w:ilvl w:val="0"/>
                <w:numId w:val="9"/>
              </w:numPr>
              <w:spacing w:after="0" w:before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Рассчитать удельный показатель поглощения лекарственного препарата, если известно, что для приготовления раствора взята навеска массой 0,0517 г и растворена в 100 мл растворителя. Затем 2 мл полученного раствора поместили в мерную колбу вместимостью 100 мл и довели объем до метки тем же растворителем, перемешали, профильтровали, отбросив первые 15-20 мл фильтрата, и измерили оптическую плотность раствора на спектрофотометре в кювете с толщиной рабочего слоя 10 мм. Величина оптической плотности равна 0,352.</w:t>
            </w:r>
          </w:p>
          <w:p>
            <w:pPr>
              <w:pStyle w:val="af3"/>
              <w:ind w:firstLine="0"/>
              <w:jc w:val="bot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Рассчитайте количественное содержание лекарственного средства в таблетке и сделайте заключение о качестве, если 1 таблетку растирают в ступке и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 w:color="auto"/>
              </w:rPr>
              <w:t>количественно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переносят 50 мл 0,1 моль/л раствора натра едкого в мерную колбу вместимостью 200 мл, прибавляют 100 мл 0,1 моль/л раствора натра едкого, взбалтывают в течение 10 минут, доводят объем 0,1 моль/л раствором натра едкого до метки, перемешивают и фильтруют, отбрасывая первые 30-50 мл фильтрата. Затем 2 мл фильтрата переносят в мерную колбу вместимостью 100 мл, доводят объем раствора 0,1 моль/л раствором натра едкого до метки и перемешивают. Измеренная оптическую плотность полученного раствора относительно 0,1 моль/л раствора натра едкого на УФ-спектрофотометре при длине волны 279 нм в кювете с толщиной слоя 10 мм равна 0,412. Оптическую плотность раствора РСО, содержащего 0,000003 г вещества в 1 мл, равна 0,420. По требованию нормативной документации содержание лекарственного средства в таблетке должно быть 0,027 – 0,033 г.</w:t>
            </w:r>
          </w:p>
          <w:p>
            <w:pPr>
              <w:pStyle w:val="af3"/>
              <w:ind w:firstLine="0"/>
              <w:jc w:val="both"/>
              <w:numPr>
                <w:ilvl w:val="0"/>
                <w:numId w:val="9"/>
              </w:numPr>
              <w:spacing w:after="0" w:before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Рассчитайте количественное содержание лекарственного средства, считая на среднюю массу таблетки, если таблеточную массу в количестве 0,2012 г растворили в 100 мл 0,1 моль/л раствора кислоты хлористоводородной в мерной колбе вместимостью 200 мл и довели объем раствора тем же растворителем до метки, перемешали, профильтровали, отбрасывая первые 10-15 мл фильтрата. Затем 2 мл фильтрата перенесли в мерную колбу вместимостью 50 мл, довели объем раствора 0,1 моль/л раствором кислоты хлористоводородной, перемешали и измерили оптическую плотность полученного раствора относительно 0,1 моль/л раствора кислоты хлористоводородной на УФ-спектрофотометре кювете с толщиной слоя 10 мм. Оптическая плотность рабочего раствора равна 0,480. Оптическую плотность раствора РСО, содержащего 0,00002 г вещества в 1 мл, равна 0,515. По требованию нормативной документации содержание лекарственного средства в таблетке должно быть 0,045 – 0,055 г. Средняя масса таблетки равна 0,102 г.</w:t>
            </w:r>
          </w:p>
          <w:p>
            <w:pPr>
              <w:pStyle w:val="af3"/>
              <w:ind w:firstLine="0"/>
              <w:jc w:val="both"/>
              <w:numPr>
                <w:ilvl w:val="0"/>
                <w:numId w:val="9"/>
              </w:numPr>
              <w:spacing w:after="0" w:before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мл препарата помещают в мерную колбу вместимостью 50 мл, доводят объем раствора водой очищенной до метки и перемешивают. Измеряют оптическую плотность полученного раствора препарата относительно воды очищенной на УФ-спектрофотометре при 361 нм в кювете с толщиной слоя 10 мм и получают величину 0,402. Удельный показатель поглощения при 361 нм равен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Сделать заключение о качестве препарата, если содержание действующего вещества в препарате должно быть в пределах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180– 220 </w:t>
            </w: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мкг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/мл </w:t>
            </w:r>
            <w:r>
              <w:rPr>
                <w:rFonts w:ascii="Times New Roman" w:hAnsi="Times New Roman"/>
                <w:sz w:val="28"/>
                <w:szCs w:val="28"/>
              </w:rPr>
              <w:t>(1г = 1000000 мкг).</w:t>
            </w:r>
          </w:p>
          <w:p>
            <w:pPr>
              <w:pStyle w:val="af3"/>
              <w:ind w:firstLine="0"/>
              <w:jc w:val="both"/>
              <w:numPr>
                <w:ilvl w:val="0"/>
                <w:numId w:val="9"/>
              </w:numPr>
              <w:spacing w:after="0" w:before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0,0703 г субстанции рибофлавина поместили в мерную колбу вместимостью 500 мл, прибавили 5 мл воды очищенной, по каплям 5 мл 1 М раствор натрия гидроокиси и перемешали до полного растворения пробы. Сразу прибавили 100 мл воды очищенной и 2,5 мл кислоты уксусной ледяной, перемешали и доводят объем раствора водой до метки. 20 мл раствора перенесли в мерную колбу вместимостью 200 мл, прибавили 3,5 мл 0,1 М раствора натрия ацетата, перемешали и доводят объем раствора водой до метки. Измерили оптическую плотность полученного раствора на спектрофотометре при длине волны 444 нм в кювете с толщиной слоя 10 мм 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0,450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). В качестве раствора сравнения использовали воду очищенную.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Удельный показатель поглощения рибофлавина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пересчете на безводное вещество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328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Содержание рибофлавина в пересчете на сухое вещество должно быть 98,0 – 102,0%. Оцените качество субстанции.</w:t>
            </w:r>
          </w:p>
          <w:p>
            <w:pPr>
              <w:ind w:left="72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Работа 1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Определение качества фурацилина (субстанция) </w:t>
            </w:r>
          </w:p>
          <w:p>
            <w:pPr>
              <w:ind w:left="72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pacing w:val="-4"/>
              </w:rPr>
              <w:t>Фурацилин (субстанция)</w:t>
            </w:r>
          </w:p>
          <w:p>
            <w:pPr>
              <w:ind w:left="715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pacing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pacing w:val="2"/>
              </w:rPr>
              <w:t>(формула, латинское название)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Описание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>елтый или зеленовато-желтый мелкокристаллический порошок без запаха (горького вкуса).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5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Подлинность: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5"/>
              </w:rPr>
              <w:t xml:space="preserve"> (тип химической реакции, обоснование, химизм)</w:t>
            </w:r>
          </w:p>
          <w:p>
            <w:pPr>
              <w:adjustRightInd/>
              <w:ind w:left="5" w:firstLine="283"/>
              <w:autoSpaceDE w:val="off"/>
              <w:autoSpaceDN w:val="off"/>
              <w:widowControl w:val="off"/>
              <w:jc w:val="both"/>
              <w:shd w:val="clear" w:color="auto" w:fill="FFFFFF"/>
              <w:numPr>
                <w:ilvl w:val="0"/>
                <w:numId w:val="10"/>
              </w:numPr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1"/>
              </w:rPr>
              <w:t xml:space="preserve">Ультрафиолетовый спектр раствора препарата, приготовленного для количественного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>определения, дает в области от 245 до 450 нм имеет максимумы поглощения при 260 ± 2 нм и 375 ± 2 нм и минимум поглощения при 306 ± 2 нм.</w:t>
            </w:r>
          </w:p>
          <w:p>
            <w:pPr>
              <w:adjustRightInd/>
              <w:ind w:left="5" w:firstLine="283"/>
              <w:autoSpaceDE w:val="off"/>
              <w:autoSpaceDN w:val="off"/>
              <w:widowControl w:val="off"/>
              <w:jc w:val="both"/>
              <w:shd w:val="clear" w:color="auto" w:fill="FFFFFF"/>
              <w:numPr>
                <w:ilvl w:val="0"/>
                <w:numId w:val="10"/>
              </w:numPr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8"/>
              </w:rPr>
              <w:t xml:space="preserve">0,01 г препарата растворяют в смеси 5 мл воды и 5 мл раствора натра едкого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3"/>
              </w:rPr>
              <w:t xml:space="preserve">появляется оранжево-красное окрашивание. При нагревании полученного раствора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 xml:space="preserve">выделяется аммиак, обнаруживаемый по запаху или посинению влажной красной лакмусовой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8"/>
              </w:rPr>
              <w:t>бумаги.</w:t>
            </w:r>
          </w:p>
          <w:p>
            <w:pPr>
              <w:ind w:left="5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  <w:spacing w:val="-6"/>
              </w:rPr>
            </w:pPr>
          </w:p>
          <w:p>
            <w:pPr>
              <w:ind w:left="5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 w:color="auto"/>
                <w:spacing w:val="-6"/>
              </w:rPr>
              <w:t>Растворимость:</w:t>
            </w:r>
          </w:p>
          <w:p>
            <w:pPr>
              <w:ind w:left="10" w:firstLine="530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9"/>
              </w:rPr>
              <w:t>Растворим в 5000ч. кипящей воды, очень мало и медленно растворим в 96% спирте,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1"/>
              </w:rPr>
              <w:t xml:space="preserve"> практически не растворим в воде, эфире и хлороформе.</w:t>
            </w:r>
          </w:p>
          <w:p>
            <w:pPr>
              <w:ind w:left="5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  <w:spacing w:val="3"/>
              </w:rPr>
            </w:pPr>
          </w:p>
          <w:p>
            <w:pPr>
              <w:ind w:left="5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 w:color="auto"/>
                <w:spacing w:val="3"/>
              </w:rPr>
              <w:t>рН: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3"/>
              </w:rPr>
              <w:t xml:space="preserve"> 5,0 - 7,5</w:t>
            </w:r>
          </w:p>
          <w:p>
            <w:pPr>
              <w:ind w:left="10" w:right="24" w:firstLine="530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3"/>
              </w:rPr>
              <w:t xml:space="preserve">0,5 г препарата встряхивают в течение 15 минут с 50 мл свежепрокипяченной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>охлажденной воды очищенной. Полученную суспензию фильтруют, отбрасывая первые 10 мл фильтрата, и определяют рН.</w:t>
            </w:r>
          </w:p>
          <w:p>
            <w:pPr>
              <w:ind w:left="10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  <w:spacing w:val="-1"/>
              </w:rPr>
            </w:pPr>
          </w:p>
          <w:p>
            <w:pPr>
              <w:ind w:left="10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 w:color="auto"/>
                <w:spacing w:val="-1"/>
              </w:rPr>
              <w:t xml:space="preserve">Хлориды: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1"/>
              </w:rPr>
              <w:t>Не более 0,004 %</w:t>
            </w:r>
          </w:p>
          <w:p>
            <w:pPr>
              <w:ind w:left="10" w:right="24" w:firstLine="530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3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2"/>
              </w:rPr>
              <w:t xml:space="preserve">2 г препарата взбалтывают с 40 мл воды очищенной в течение 2 минут и фильтруют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1"/>
              </w:rPr>
              <w:t xml:space="preserve">получения прозрачного фильтрата. 10 мл фильтрата должны выдерживать испытание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3"/>
              </w:rPr>
              <w:t xml:space="preserve">хлориды (ГФ 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  <w:spacing w:val="-3"/>
              </w:rPr>
              <w:t>XIV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3"/>
              </w:rPr>
              <w:t>, ОФС 1.2.2.2.0009.15).</w:t>
            </w:r>
          </w:p>
          <w:p>
            <w:pPr>
              <w:ind w:left="10" w:right="24" w:firstLine="530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left="14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 w:color="auto"/>
                <w:spacing w:val="-1"/>
              </w:rPr>
              <w:t xml:space="preserve">Сульфаты: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1"/>
              </w:rPr>
              <w:t>Не более 0,02 %</w:t>
            </w:r>
          </w:p>
          <w:p>
            <w:pPr>
              <w:ind w:left="19" w:right="24" w:firstLine="521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3"/>
              </w:rPr>
              <w:t xml:space="preserve">10 мл фильтрата, полученного при испытании на хлориды, должны выдерживать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 xml:space="preserve">испытание на сульфаты (ГФ 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  <w:spacing w:val="-4"/>
              </w:rPr>
              <w:t>XIV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 xml:space="preserve">, ОФС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3"/>
              </w:rPr>
              <w:t>1.2.2.2.0007.15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>).</w:t>
            </w:r>
          </w:p>
          <w:p>
            <w:pPr>
              <w:ind w:left="14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  <w:spacing w:val="-2"/>
              </w:rPr>
            </w:pPr>
          </w:p>
          <w:p>
            <w:pPr>
              <w:ind w:left="14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 w:color="auto"/>
                <w:spacing w:val="-2"/>
              </w:rPr>
              <w:t>Потеря в массе при высушивании: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2"/>
              </w:rPr>
              <w:t xml:space="preserve"> Не более 0,5 %</w:t>
            </w:r>
          </w:p>
          <w:p>
            <w:pPr>
              <w:ind w:firstLine="540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pacing w:val="-6"/>
              </w:rPr>
              <w:t>1 г препарата (точная навеска) сушат при температуре 100-105 °С до постоянной массы.</w:t>
            </w:r>
          </w:p>
          <w:p>
            <w:pPr>
              <w:ind w:left="1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  <w:spacing w:val="-2"/>
              </w:rPr>
            </w:pPr>
          </w:p>
          <w:p>
            <w:pPr>
              <w:ind w:left="1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 w:color="auto"/>
                <w:spacing w:val="-2"/>
              </w:rPr>
              <w:t xml:space="preserve">Сульфатная зола: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2"/>
              </w:rPr>
              <w:t>Не более 0,1 %</w:t>
            </w:r>
          </w:p>
          <w:p>
            <w:pPr>
              <w:ind w:left="19" w:right="14" w:firstLine="521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pacing w:val="-3"/>
              </w:rPr>
              <w:t xml:space="preserve">1 г препарата (точная навеска) в фарфоровом тигле смачивают 1 мл кислоты серной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pacing w:val="-4"/>
              </w:rPr>
              <w:t>концентрированной, осторожно сжигают на плитке и прокаливают в муфельной печи.</w:t>
            </w:r>
          </w:p>
          <w:p>
            <w:pPr>
              <w:ind w:left="1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 w:color="auto"/>
                <w:spacing w:val="-2"/>
              </w:rPr>
            </w:pPr>
          </w:p>
          <w:p>
            <w:pPr>
              <w:ind w:left="1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 w:color="auto"/>
                <w:spacing w:val="-2"/>
              </w:rPr>
              <w:t>Тяжелые металлы: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2"/>
              </w:rPr>
              <w:t xml:space="preserve"> Не более 0,001 %</w:t>
            </w:r>
          </w:p>
          <w:p>
            <w:pPr>
              <w:ind w:left="24" w:firstLine="516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Остаток в тигле после прокаливания при определения сульфатной золы подвергают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pacing w:val="-1"/>
              </w:rPr>
              <w:t>контролю на тяжелые металлы (ГФ Х</w:t>
            </w:r>
            <w:r>
              <w:rPr>
                <w:lang w:val="en-US"/>
                <w:rFonts w:ascii="Times New Roman" w:hAnsi="Times New Roman"/>
                <w:i/>
                <w:iCs/>
                <w:color w:val="000000"/>
                <w:sz w:val="28"/>
                <w:szCs w:val="28"/>
                <w:spacing w:val="-1"/>
              </w:rPr>
              <w:t>IV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pacing w:val="-1"/>
              </w:rPr>
              <w:t>, ОФС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pacing w:val="-3"/>
              </w:rPr>
              <w:t xml:space="preserve"> 1.2.2.2.0012.15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pacing w:val="-1"/>
              </w:rPr>
              <w:t>).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 xml:space="preserve">Количественное определение: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14"/>
              </w:rPr>
              <w:t xml:space="preserve">(метод, обоснование, химические реакции) </w:t>
            </w:r>
          </w:p>
          <w:p>
            <w:pPr>
              <w:ind w:left="14" w:right="19" w:firstLine="526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3"/>
              </w:rPr>
              <w:t xml:space="preserve">0,075 г (точная навеска) субстанции помещают в мерную колбу вместимостью 250 мл, растворяют в 30 мл диметилформамида, доводят объем раствора водой очищенной до метки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 xml:space="preserve">перемешивают, 5 мл полученного раствора помещают в мерную колбу вместимостью 250 мл, доводят объем раствора водой очищенной до метки и перемешивают. Измеряют оптическую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2"/>
              </w:rPr>
              <w:t xml:space="preserve">плотность полученного раствора относительно воды очищенной на УФ-спектрофотометре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>максимуме поглощения при длине волны 375 нм в кювете с толщиной слоя 10 мм.</w:t>
            </w:r>
          </w:p>
          <w:p>
            <w:pPr>
              <w:ind w:firstLine="54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Параллельно измеряют оптическую плотность раствора ГСО фурацилина (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  <w:spacing w:val="-6"/>
              </w:rPr>
              <w:t>D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  <w:spacing w:val="-6"/>
                <w:vertAlign w:val="subscript"/>
              </w:rPr>
              <w:t>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= 0,490).</w:t>
            </w:r>
          </w:p>
          <w:p>
            <w:pPr>
              <w:ind w:left="5" w:right="29" w:firstLine="535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pacing w:val="-7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pacing w:val="-4"/>
              </w:rPr>
              <w:t xml:space="preserve">Приготовление раствора ГСО фурацилина: 0,075 г (точная навеска) ГСО фурацилина, высушенного до постоянной массы при температуре 100-105 °С, помещают в мерную колбу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pacing w:val="-2"/>
              </w:rPr>
              <w:t xml:space="preserve">вместимостью 250 мл, растворяют в 30 мл диметилформамида, доводят объем раствора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pacing w:val="-5"/>
              </w:rPr>
              <w:t xml:space="preserve">водой очищенной до метки и перемешивают. 5 мл полученного раствора помещают в мерную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pacing w:val="-1"/>
              </w:rPr>
              <w:t xml:space="preserve">колбу вместимостью 250 мл, доводят объем раствора водой очищенной до метки и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pacing w:val="-7"/>
              </w:rPr>
              <w:t>перемешивают.</w:t>
            </w:r>
          </w:p>
          <w:p>
            <w:pPr>
              <w:ind w:left="24" w:right="19" w:firstLine="466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7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6"/>
              </w:rPr>
              <w:t xml:space="preserve">Написать формулу расчета, произвести расчет количественного содержания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3"/>
              </w:rPr>
              <w:t xml:space="preserve">действующего вещества в субстанции на основании полученных результатов проведенного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7"/>
              </w:rPr>
              <w:t>испытания.</w:t>
            </w:r>
          </w:p>
          <w:p>
            <w:pPr>
              <w:ind w:left="24" w:right="19" w:firstLine="466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7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8"/>
              </w:rPr>
              <w:t xml:space="preserve">Содержание фурацилина в пересчете на сухое вещество должно быть в пределах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2"/>
              </w:rPr>
              <w:t>98 -100%.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журнал;</w:t>
            </w:r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реактивы, УФ-спектрофотометр).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2.4: хроматографические методы исследования для установления подлинности и чистоты лекарственных средств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научиться проводить анализ лекарственных средств методами газожидкостной хроматографии, ионообменной хроматографии.</w:t>
      </w: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ind w:firstLine="709"/>
        <w:jc w:val="both"/>
        <w:spacing w:after="0"/>
        <w:rPr>
          <w:rFonts w:ascii="Times New Roman" w:hAnsi="Times New Roman"/>
          <w:i/>
          <w:color w:val="000000"/>
          <w:sz w:val="28"/>
          <w:szCs w:val="28"/>
          <w:spacing w:val="-4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704"/>
        <w:gridCol w:w="9577"/>
      </w:tblGrid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pStyle w:val="af3"/>
              <w:ind w:left="357" w:hanging="357"/>
              <w:jc w:val="bot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 методов хроматографии.</w:t>
            </w:r>
          </w:p>
          <w:p>
            <w:pPr>
              <w:pStyle w:val="af3"/>
              <w:ind w:left="357" w:hanging="357"/>
              <w:jc w:val="bot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Понятия о теории метода: параметры удерживания (время удерживания; время выхода; объем удерживания; коэффициент удерживания); параметры разделения (степень разделения, коэффициент разделения, число теоретических тарелок).</w:t>
            </w:r>
          </w:p>
          <w:p>
            <w:pPr>
              <w:pStyle w:val="af3"/>
              <w:ind w:left="357" w:hanging="357"/>
              <w:jc w:val="bot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температуры на разделение смеси методами хроматографии.</w:t>
            </w:r>
          </w:p>
          <w:p>
            <w:pPr>
              <w:pStyle w:val="af3"/>
              <w:ind w:left="357" w:hanging="357"/>
              <w:jc w:val="bot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методов хроматографии.</w:t>
            </w:r>
          </w:p>
          <w:p>
            <w:pPr>
              <w:pStyle w:val="af3"/>
              <w:ind w:left="357" w:hanging="357"/>
              <w:jc w:val="bot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обработки хроматограмм: абсолютной калибровки; внутренней нормализации; внутреннего стандарта.</w:t>
            </w:r>
          </w:p>
          <w:p>
            <w:pPr>
              <w:pStyle w:val="af3"/>
              <w:ind w:left="357" w:hanging="357"/>
              <w:jc w:val="bot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Комбинированные методы анализа: хромато-масс-спектрометрия; хромато-спектрофотометрия.</w:t>
            </w:r>
          </w:p>
          <w:p>
            <w:pPr>
              <w:pStyle w:val="af3"/>
              <w:ind w:left="357" w:hanging="357"/>
              <w:jc w:val="bot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Жидкостная хроматография, высокоэффективная жидкостная хроматография: сущность метода; применение в фармации.</w:t>
            </w:r>
          </w:p>
          <w:p>
            <w:pPr>
              <w:pStyle w:val="af3"/>
              <w:ind w:left="357" w:hanging="357"/>
              <w:jc w:val="bot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 ионообменной хроматографии.</w:t>
            </w:r>
          </w:p>
          <w:p>
            <w:pPr>
              <w:pStyle w:val="af3"/>
              <w:ind w:left="357" w:hanging="357"/>
              <w:jc w:val="bot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Иониты: их типы, строение, обменная емкость, регенерация ионитов. </w:t>
            </w:r>
          </w:p>
          <w:p>
            <w:pPr>
              <w:pStyle w:val="af3"/>
              <w:ind w:left="357" w:hanging="357"/>
              <w:jc w:val="bot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Ионообменное равновесие: константа ионного обмена, её значение; коэффициент разделения ионов и коэффициент распределения.</w:t>
            </w:r>
          </w:p>
          <w:p>
            <w:pPr>
              <w:pStyle w:val="af3"/>
              <w:ind w:left="357" w:hanging="357"/>
              <w:jc w:val="bot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ионообменной хроматографии. </w:t>
            </w:r>
          </w:p>
          <w:p>
            <w:pPr>
              <w:pStyle w:val="af3"/>
              <w:ind w:left="357" w:hanging="357"/>
              <w:jc w:val="bot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об ионной, ион-парной и лигандообменной хроматографии.</w:t>
            </w:r>
          </w:p>
          <w:p>
            <w:pPr>
              <w:pStyle w:val="af3"/>
              <w:ind w:left="357" w:hanging="357"/>
              <w:jc w:val="bot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ионообменной хроматографии.</w:t>
            </w:r>
          </w:p>
          <w:p>
            <w:pPr>
              <w:ind w:left="360"/>
              <w:jc w:val="both"/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left="360"/>
              <w:jc w:val="both"/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 определении натрия цитрата методом ионообменной хроматографии на титрование 0,1003 г (при влажности 25%) израсходовалось 17,85 мл титрованного раствора (0,05 моль/л) с К 1,0000. Сделайте заключение о качестве, если, согласно НТД содержание натрия цитрата в пересчете на сухое вещество должно быть от 99,0% до 101,0%. М.м. натрия цитрата водного 357,16. М.м. натрия цитрата безводного 258,06.</w:t>
            </w:r>
          </w:p>
          <w:p>
            <w:pPr>
              <w:ind w:left="24" w:right="19" w:firstLine="466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7"/>
              </w:rPr>
            </w:pP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журнал;</w:t>
            </w:r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2.5: количественное определение лекарственных веществ в субстанции и лекарственных формах титриметрическими методами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научиться проводить анализ фармацевтических субстанций и лекарственных форм титриметрическими методами.</w:t>
      </w: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ind w:firstLine="709"/>
        <w:jc w:val="both"/>
        <w:spacing w:after="0"/>
        <w:rPr>
          <w:rFonts w:ascii="Times New Roman" w:hAnsi="Times New Roman"/>
          <w:i/>
          <w:color w:val="000000"/>
          <w:sz w:val="28"/>
          <w:szCs w:val="28"/>
          <w:spacing w:val="-4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704"/>
        <w:gridCol w:w="9577"/>
      </w:tblGrid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pStyle w:val="af3"/>
              <w:ind w:left="1066" w:hanging="357"/>
              <w:jc w:val="bot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идентификации ЛС в фармацевтическом анализе. Общие реакции на подлинность в соответствии с требованиями ГФ XI</w:t>
            </w:r>
            <w:r>
              <w:rPr>
                <w:lang w:val="en-US"/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af3"/>
              <w:ind w:left="1066" w:hanging="357"/>
              <w:jc w:val="bot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методы (осадительные, окислительно-восстановительные, элементный анализ) применяемые для количественного определения лекарственных средств, их достоинства и недостатки. Примеры.</w:t>
            </w:r>
          </w:p>
          <w:p>
            <w:pPr>
              <w:pStyle w:val="af3"/>
              <w:ind w:left="1066" w:hanging="357"/>
              <w:jc w:val="bot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методы (кислотно-основные, комплексонометрия, нитритометрия, гравиметрический метод), применяемые для количественного определения лекарственных средств, их достоинства и недостатки. Примеры.</w:t>
            </w:r>
          </w:p>
          <w:p>
            <w:pPr>
              <w:pStyle w:val="af3"/>
              <w:ind w:left="1066" w:hanging="357"/>
              <w:jc w:val="bot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и причины недоброкачественности ЛС. Типы реакций наиболее часто приводящих к изменению веществ под воздействием факторов окружающей среды. Природа и характер примесей.</w:t>
            </w:r>
          </w:p>
          <w:p>
            <w:pPr>
              <w:pStyle w:val="af3"/>
              <w:ind w:left="1066" w:hanging="357"/>
              <w:jc w:val="bot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фармакопейные положения для определения посторонних веществ в лекарственных средствах (испытания на хлориды, сульфаты, соли аммония, соли кальция, соли железа (II), (III), соли цинка, соли тяжелых металлов).</w:t>
            </w:r>
          </w:p>
          <w:p>
            <w:pPr>
              <w:pStyle w:val="af3"/>
              <w:ind w:left="1066" w:hanging="357"/>
              <w:jc w:val="bot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фармакопейные положения для определения посторонних веществ в лекарственных средствах (обнаружение примеси мышьяка в ЛП, определение воды и летучих веществ).</w:t>
            </w:r>
          </w:p>
          <w:p>
            <w:pPr>
              <w:ind w:left="360"/>
              <w:jc w:val="both"/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left="360"/>
              <w:jc w:val="both"/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>
            <w:pPr>
              <w:jc w:val="both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both"/>
              <w:spacing w:after="0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 w:color="auto"/>
              </w:rPr>
              <w:t>Работа 1.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Определение качества кислоты никотиновой 1% для инъекций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Кислота никотиновая 1% для инъекций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(формула, латинское название)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Состав: Никотиновой кислоты 10 г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Натрия гидрокарбоната   7 г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Воды для инъекций до 1000 мл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 w:color="auto"/>
              </w:rPr>
              <w:t>Описание: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Прозрачная бесцветная жидкость.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 w:color="auto"/>
              </w:rPr>
              <w:t>Подлинность: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(тип химической реакции, обоснование, химизм)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1 мл теплого исследуемого раствора прибавляют 0,3 мл раствора меди (П) сульфата - выпадает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осадок синего цвета,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добавлении 0,3-0,5 мл   раствора   аммония   тиоционата   появляется  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зеленое   окрашивание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(никотиновая кислота).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Графитовую палочку, смоченную раствором, вносят в бесцветное пламя горелки, пламя окрашивается в желтый цвет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(натрий-ион).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 w:color="auto"/>
              </w:rPr>
              <w:t>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   5.0-7.0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 w:color="auto"/>
              </w:rPr>
              <w:t xml:space="preserve">Количественное определение: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(метод, обоснование, химические реакции)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1 мл исследуемого раствора помещают в колбу для титрования, прибавляют 1-2 капли индикатора метилового оранжевого и титруют 0,1 М раствором кислоты хлористоводородной до розового окрашивания.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М.м. натрия гидрокарбоната 84,01.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5 мл исследуемого раствора помещают в мерную колбу на 25 мл, прибавляют 2 капли индикатора фенолфталеина, по каплям 0,1 М раствор натрия гидроокиси до розового окрашивания и вносят пипеткой точно 2,5 мл 5% раствора меди (П) сульфата. После отстаивания в течение 10 минут объем раствора доводят водой очищенной до метки, перемешивают и фильтруют через сухой фильтр в сухую колбу, отбрасывая первые 2-3 мл фильтрата. 10 мл фильтрата переносят в колбу для титрования (с притертой пробкой), прибавляют 2 мл кислоты хлористоводородной разведенной и 0,5 г калия йодида, закрывают колбу пробкой и оставляют в темном месте на 10 минут. Затем выделившийся йод титруют 0,1 М раствором натрия тиосульфата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обесцвечивания раствора. Параллельно проводят контрольный опыт, используя те же количества реактивов, но вместо исследуемого раствора берется 5 мл воды очищенной.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М.м. кислоты никотиновой 123,11.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 w:color="auto"/>
              </w:rPr>
              <w:t xml:space="preserve">Экспресс-метод: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мл исследуемого раствора помещают в колбу для титрования, прибавляют 2 мл воды очищенной, 1 каплю индикатора метилового оранжевого и титруют 0,1 М раствором кислоты хлористоводородной до появления розового окрашивания.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оттитрованному раствору прибавляют 1 каплю фенолфталеина и титруют 0,1 М раствором натрия гидроокиси до слабо-розового окрашивания.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М.м. кислоты никотиновой 123,11.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jc w:val="both"/>
              <w:spacing w:after="80" w:before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 w:color="auto"/>
              </w:rPr>
              <w:t>Работа 2.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Определение качества субстанции резорцина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Резорцин 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(хим. формула, латинское название)</w:t>
            </w:r>
          </w:p>
          <w:p>
            <w:pPr>
              <w:jc w:val="both"/>
              <w:spacing w:after="100"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Описание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Белый или белый со слабым желтоватым или слабым розоватым оттенком кристаллический порошок с слабым характерным запахом.</w:t>
            </w:r>
          </w:p>
          <w:p>
            <w:pPr>
              <w:jc w:val="both"/>
              <w:spacing w:after="80" w:before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Растворимость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Очень легко растворим в воде и 95% спирте этиловом легко растворим в эфире диэтиловом, очень мало растворим в хлороформе. </w:t>
            </w:r>
          </w:p>
          <w:p>
            <w:pPr>
              <w:jc w:val="both"/>
              <w:shd w:val="clear" w:color="auto" w:fill="FFFFFF"/>
              <w:spacing w:after="100" w:before="1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 xml:space="preserve">П о д л и н н о с т 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ind w:firstLine="53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0,05 г препарата растворяют в 5 мл воды очищенной, прибавляют 3 капели раствора железа (</w:t>
            </w:r>
            <w:r>
              <w:rPr>
                <w:lang w:val="en-US"/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) хлорида появляется сине-фиолетовое окрашивание, переходящее от прибавления 3 капель раствора аммиака в буровато-желтое.</w:t>
            </w:r>
          </w:p>
          <w:p>
            <w:pPr>
              <w:ind w:right="34" w:firstLine="539"/>
              <w:jc w:val="both"/>
              <w:shd w:val="clear" w:color="auto" w:fill="FFFFFF"/>
              <w:spacing w:after="80" w:before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При сплавлении в фарфоровой чашке нескольких кристаллов вещества с равным количеством калия гидрофталата образуется плав желто-красного цвета. При растворении плава в 10мл 1% раствора натрия гидроксида появляется интенсивная зеле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ная флюоресценция.</w:t>
            </w:r>
          </w:p>
          <w:p>
            <w:pPr>
              <w:ind w:right="34" w:firstLine="539"/>
              <w:jc w:val="both"/>
              <w:shd w:val="clear" w:color="auto" w:fill="FFFFFF"/>
              <w:spacing w:after="80" w:before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УФ-спектр 0,003% раствора препарата в смеси 95 спирта этилового и воды очищенной (1:2) в области длин волн от 250 до 50 нм имеет максимум поглощения при 275±2нм.</w:t>
            </w:r>
          </w:p>
          <w:p>
            <w:pPr>
              <w:ind w:left="540"/>
              <w:spacing w:after="80" w:before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К о л и ч е с т в е н н о е  о п р е д е л е н и е:</w:t>
            </w:r>
          </w:p>
          <w:p>
            <w:pPr>
              <w:ind w:firstLine="540"/>
              <w:jc w:val="both"/>
              <w:shd w:val="clear" w:color="auto" w:fill="FFFFFF"/>
              <w:spacing w:after="100" w:before="1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Около 0,2 г вещества (точная навеска) помещают в мерную колбу вместимостью 100 мл, растворяют в 20 мл воды, доводят объём раствора водой до метки и перемеши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вают. 10 мл полученного раствора помещают в колбу с притёртой пробкой, прибавляют 20 мл 0,1 моль/л раствора бромата калия (УЧ 1/6 КВ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</w:rPr>
              <w:t>rO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), 5 мл раствора калия бромида, 5 мл 50% раствора кислоты серной и оставляют на 15 мин. Затем прибавляют 10 мл раствора калия йодида, сильно взбалтывают и оставляют на 10 мин в тёмном месте. Выделившийся йод титруют 0,1 моль/л раствором натрия тиосульфата. Индикатор – крахмал (2-3 мл). Параллель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 проводят контрольный опыт.</w:t>
            </w:r>
          </w:p>
          <w:p>
            <w:pPr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 w:color="auto"/>
              </w:rPr>
              <w:t>М.м. резорцина 110,11.</w:t>
            </w:r>
          </w:p>
          <w:p>
            <w:pPr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 w:color="auto"/>
              </w:rPr>
              <w:t>Содержание резорцина в препарате должно быть не менее 99,0%.</w:t>
            </w:r>
          </w:p>
          <w:p>
            <w:pPr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Предварительный расчет количества титранта.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журнал;</w:t>
            </w:r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2.6: экспресс-анализ внутриаптечной продукции с применением химических методов и метода рефрактометрии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научиться проводить экспресс-анализ лекарственных средств с применением химических методов и метода рефрактометрии.</w:t>
      </w: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ind w:firstLine="709"/>
        <w:jc w:val="both"/>
        <w:spacing w:after="0"/>
        <w:rPr>
          <w:rFonts w:ascii="Times New Roman" w:hAnsi="Times New Roman"/>
          <w:i/>
          <w:color w:val="000000"/>
          <w:sz w:val="28"/>
          <w:szCs w:val="28"/>
          <w:spacing w:val="-4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704"/>
        <w:gridCol w:w="9577"/>
      </w:tblGrid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pStyle w:val="af3"/>
              <w:jc w:val="bot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порошков как лекарственной формы.</w:t>
            </w:r>
          </w:p>
          <w:p>
            <w:pPr>
              <w:pStyle w:val="af3"/>
              <w:jc w:val="bot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Нормы отклонений, допустимые при изготовлении лекарств и фасовке промышленной продукции в аптеке (приказ № 751н). Расчет относительной ошибки определения.</w:t>
            </w:r>
          </w:p>
          <w:p>
            <w:pPr>
              <w:ind w:left="36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left="360"/>
              <w:jc w:val="both"/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>
            <w:pPr>
              <w:ind w:left="360"/>
              <w:jc w:val="both"/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 xml:space="preserve">Работа 1.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Определение качества препарата состава: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>Состав: Дифенгидрамина гидрохлорида (димедрола)    0,5</w:t>
            </w:r>
          </w:p>
          <w:p>
            <w:pPr>
              <w:adjustRightInd/>
              <w:autoSpaceDE w:val="off"/>
              <w:autoSpaceDN w:val="off"/>
              <w:widowControl w:val="off"/>
              <w:tabs>
                <w:tab w:val="left" w:pos="247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Кислоты аскорбиновой                                   0,5</w:t>
            </w:r>
          </w:p>
          <w:p>
            <w:pPr>
              <w:adjustRightInd/>
              <w:autoSpaceDE w:val="off"/>
              <w:autoSpaceDN w:val="off"/>
              <w:widowControl w:val="off"/>
              <w:tabs>
                <w:tab w:val="left" w:pos="247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Воды                                                                 до 100 мл</w:t>
            </w:r>
          </w:p>
          <w:p>
            <w:pPr>
              <w:adjustRightInd/>
              <w:autoSpaceDE w:val="off"/>
              <w:autoSpaceDN w:val="off"/>
              <w:widowControl w:val="off"/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Описание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1"/>
              </w:rPr>
              <w:t xml:space="preserve"> Бесцветная прозрачная жидкость.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spacing w:val="-5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П о д л и н н о с т ь:</w:t>
            </w:r>
          </w:p>
          <w:p>
            <w:pPr>
              <w:adjustRightInd/>
              <w:ind w:firstLine="567"/>
              <w:autoSpaceDE w:val="off"/>
              <w:autoSpaceDN w:val="off"/>
              <w:widowControl w:val="off"/>
              <w:jc w:val="both"/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Выпаривают 2-3 капли раствора на водяной бане. После охлаждения к сухому остатку прибавляют 4-5 капель концентрированной сер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2"/>
              </w:rPr>
              <w:t xml:space="preserve">ной кислоты, появляется желтое окрашивание, исчезающее при добавлении 2-3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1"/>
              </w:rPr>
              <w:t>капель воды (дифенгидрамина гидрохлорид).</w:t>
            </w:r>
          </w:p>
          <w:p>
            <w:pPr>
              <w:adjustRightInd/>
              <w:ind w:firstLine="567"/>
              <w:autoSpaceDE w:val="off"/>
              <w:autoSpaceDN w:val="off"/>
              <w:widowControl w:val="off"/>
              <w:jc w:val="both"/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1"/>
              </w:rPr>
              <w:t>2. К 1-2 каплям раствора прибавляют по 1-2 капли растворов гексациано-(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  <w:spacing w:val="-1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1"/>
              </w:rPr>
              <w:t>)-феррата калия и железа (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  <w:spacing w:val="-1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1"/>
              </w:rPr>
              <w:t>) хлорида, появляется синее окрашивание (ки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2"/>
              </w:rPr>
              <w:t>слота аскорбиновая).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К о л и ч е с т в е н н о е  о п р е д е л е н и е:</w:t>
            </w:r>
          </w:p>
          <w:p>
            <w:pPr>
              <w:adjustRightInd/>
              <w:ind w:firstLine="567"/>
              <w:autoSpaceDE w:val="off"/>
              <w:autoSpaceDN w:val="off"/>
              <w:widowControl w:val="off"/>
              <w:jc w:val="both"/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 w:color="auto"/>
                <w:spacing w:val="1"/>
              </w:rPr>
              <w:t>Дифенгидрамина гидрохлорид (димедрол).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1"/>
              </w:rPr>
              <w:t xml:space="preserve">К 2 мл раствора прибавляют 5-6 мл раствора железоаммониевых квасцов, 2 мл разведенной азотной кислоты,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1"/>
              </w:rPr>
              <w:t>3 мл раствора серебра нитрата (0,02 моль/л) и титруют раствором аммония тио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цианата (0,02 моль/л) до желто-розового окрашивания. </w:t>
            </w:r>
          </w:p>
          <w:p>
            <w:pPr>
              <w:adjustRightInd/>
              <w:ind w:firstLine="567"/>
              <w:autoSpaceDE w:val="off"/>
              <w:autoSpaceDN w:val="off"/>
              <w:widowControl w:val="off"/>
              <w:jc w:val="both"/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М.м. 291,82.</w:t>
            </w:r>
          </w:p>
          <w:p>
            <w:pPr>
              <w:adjustRightInd/>
              <w:ind w:firstLine="567"/>
              <w:autoSpaceDE w:val="off"/>
              <w:autoSpaceDN w:val="off"/>
              <w:widowControl w:val="off"/>
              <w:jc w:val="both"/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spacing w:val="-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 w:color="auto"/>
                <w:spacing w:val="-2"/>
              </w:rPr>
              <w:t>Кислота аскорбиновая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pacing w:val="-2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2"/>
              </w:rPr>
              <w:t xml:space="preserve">К 1 мл раствора прибавляют 2 мл 95% спирта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1"/>
              </w:rPr>
              <w:t xml:space="preserve">титруют раствором йода (0,1 моль/л, УЧ ½ </w:t>
            </w:r>
            <w:r>
              <w:rPr>
                <w:lang w:val="en-US"/>
                <w:rFonts w:ascii="Times New Roman" w:hAnsi="Times New Roman"/>
                <w:color w:val="000000"/>
                <w:sz w:val="28"/>
                <w:szCs w:val="28"/>
                <w:spacing w:val="-1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1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1"/>
              </w:rPr>
              <w:t xml:space="preserve">) до слабо желтого окрашивания. </w:t>
            </w:r>
          </w:p>
          <w:p>
            <w:pPr>
              <w:adjustRightInd/>
              <w:ind w:firstLine="567"/>
              <w:autoSpaceDE w:val="off"/>
              <w:autoSpaceDN w:val="off"/>
              <w:widowControl w:val="off"/>
              <w:jc w:val="both"/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>М.м. 176,13.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журнал;</w:t>
            </w:r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2.7: экспресс-анализ внутриаптечной продукции с применением химических методов и метода рефрактометрии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научиться проводить экспресс-анализ лекарственных средств с применением химических методов и метода рефрактометрии.</w:t>
      </w: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ind w:firstLine="709"/>
        <w:jc w:val="both"/>
        <w:spacing w:after="0"/>
        <w:rPr>
          <w:rFonts w:ascii="Times New Roman" w:hAnsi="Times New Roman"/>
          <w:i/>
          <w:color w:val="000000"/>
          <w:sz w:val="28"/>
          <w:szCs w:val="28"/>
          <w:spacing w:val="-4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704"/>
        <w:gridCol w:w="9577"/>
      </w:tblGrid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pStyle w:val="af3"/>
              <w:jc w:val="bot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внутриаптечного контроля, их практическое выполнение (приказ № 751н).</w:t>
            </w:r>
          </w:p>
          <w:p>
            <w:pPr>
              <w:pStyle w:val="af3"/>
              <w:jc w:val="bot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осуществления контроля качества лекарств, изготовленных в аптеке, экспресс-методом.</w:t>
            </w:r>
          </w:p>
          <w:p>
            <w:pPr>
              <w:jc w:val="both"/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left="360"/>
              <w:jc w:val="both"/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 xml:space="preserve">Работа 1.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Определение качества препарата аптечного изготовления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состава: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Состав: Кальция глюконата      0,05</w:t>
            </w:r>
          </w:p>
          <w:p>
            <w:pPr>
              <w:adjustRightInd/>
              <w:autoSpaceDE w:val="off"/>
              <w:autoSpaceDN w:val="off"/>
              <w:widowControl w:val="o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Сахара                           0,2 </w:t>
            </w:r>
          </w:p>
          <w:p>
            <w:pPr>
              <w:adjustRightInd/>
              <w:autoSpaceDE w:val="off"/>
              <w:autoSpaceDN w:val="off"/>
              <w:widowControl w:val="o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Описание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порошок белого цвета.</w:t>
            </w:r>
          </w:p>
          <w:p>
            <w:pPr>
              <w:adjustRightInd/>
              <w:autoSpaceDE w:val="off"/>
              <w:autoSpaceDN w:val="off"/>
              <w:widowControl w:val="o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Однородность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Должен быть однородным.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Средняя масса порошка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Определить массу 3-5 порошков и рассчитать среднюю массу порошка. Рассчитать границы допустимых отклонений в массе отдельных доз порошка.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spacing w:val="-5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П о д л и н н о с т ь:</w:t>
            </w:r>
          </w:p>
          <w:p>
            <w:pPr>
              <w:adjustRightInd/>
              <w:ind w:firstLine="567"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 г исследуемого порошка растворяют (при нагревании) в 6 мл воды очищенной, охлаждают и разливают на 3 пробирки и проводят качественный анализ:</w:t>
            </w:r>
          </w:p>
          <w:p>
            <w:pPr>
              <w:ind w:firstLine="567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Кальция глюконат.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полученному раствору прибавляют 2-3 капли раствора оксалата аммония – появляется белый осадок, нерастворимый в растворе аммиака и растворяющийся в кислоте соляной разведенной.</w:t>
            </w:r>
          </w:p>
          <w:p>
            <w:pPr>
              <w:ind w:firstLine="567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Кальция глюконат.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полученному раствору прибавляют 1-2 капли раствора железа (Ш) хлорида – появляется светло-зеленое окрашивание. </w:t>
            </w:r>
          </w:p>
          <w:p>
            <w:pPr>
              <w:ind w:firstLine="567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Сахароза.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полученному раствору прибавляют 2-3 капли раствора натрия гидроокиси и 1-2 капли раствора кобальта нитрата (хлорида) – появляется сине-фиолетовое окрашивание.</w:t>
            </w:r>
          </w:p>
          <w:p>
            <w:pPr>
              <w:ind w:firstLine="567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К 0,01г исследуемого порошка прибавляют 1-2 мл кислоты соляной разведенной, несколько кристалликов резорцина и кипятят 1 минуту – появляется красное окрашивание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сахароза)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 w:color="auto"/>
              </w:rPr>
              <w:t>К о л и ч е с т в е н н о е  о п р е д е л е н и 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14"/>
              </w:rPr>
              <w:t xml:space="preserve"> </w:t>
            </w:r>
          </w:p>
          <w:p>
            <w:pPr>
              <w:adjustRightInd/>
              <w:ind w:firstLine="567"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Кальция глюконат.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Массу 1 порошка (точная навеска) помещают в колбу для титрования, растворяют в 5 мл воды очищенной при нагревании, охлаждают, прибавляют 5 мл аммиачного буферного раствора, 0,01 г индикаторной смеси кислотного хром темно-синего и титруют 0,05 моль/л трилона Б до голубого окрашивания. </w:t>
            </w:r>
          </w:p>
          <w:p>
            <w:pPr>
              <w:snapToGrid w:val="0"/>
              <w:jc w:val="both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Молекулярная масса кальция глюконата равна 448,4.</w:t>
            </w:r>
          </w:p>
          <w:p>
            <w:pPr>
              <w:adjustRightInd/>
              <w:ind w:firstLine="567"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2)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Сахароза</w:t>
            </w:r>
            <w:r>
              <w:rPr>
                <w:rFonts w:ascii="Times New Roman" w:hAnsi="Times New Roman"/>
                <w:sz w:val="28"/>
                <w:szCs w:val="28"/>
              </w:rPr>
              <w:t>. Массу одного порошка (точная навеска) помещают в мерную пробирку на 5 или 10 мл, растворяют в 1,5 мл воды очищенной, затем объем доводят водой до 2 мл и перемешивают. Определяют показатель преломления полученного раствора на рефрактометре. Производят расчет содержания сахарозы в порошках с учетом содержания кальция глюконата, найденного химическим методом.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Фактор показателя преломления кальция глюконата равен 0,00160.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Фактор показателя преломления сахарозы равен 0,00145.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формулу расчета для количественного определения глюкозы рефрактометрическим методом в данной лекарственной форме.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Рассчитать допустимые отклонения по каждому из определяемых компонентов, согласно требованиям приказа МЗ РФ №751н от 26.10.2015. По полученным результатам с учетом допустимых отклонений </w:t>
            </w:r>
            <w:r>
              <w:rPr>
                <w:lang w:val="en-US"/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делать заключение о качестве лекарственной формы.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журнал;</w:t>
            </w:r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/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2.8: макроскопический анализ лекарственного растительного сырья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научиться проводить макроскопический анализ лекарственного растительного сырья.</w:t>
      </w: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ind w:firstLine="709"/>
        <w:jc w:val="both"/>
        <w:spacing w:after="0"/>
        <w:rPr>
          <w:rFonts w:ascii="Times New Roman" w:hAnsi="Times New Roman"/>
          <w:i/>
          <w:color w:val="000000"/>
          <w:sz w:val="28"/>
          <w:szCs w:val="28"/>
          <w:spacing w:val="-4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704"/>
        <w:gridCol w:w="9577"/>
      </w:tblGrid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pStyle w:val="af3"/>
              <w:jc w:val="bot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фармакогнозии как науки и учебной дисциплины.</w:t>
            </w:r>
          </w:p>
          <w:p>
            <w:pPr>
              <w:pStyle w:val="af3"/>
              <w:jc w:val="bot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развития фармакогнозии. Основные понятия и методы исследования.</w:t>
            </w:r>
          </w:p>
          <w:p>
            <w:pPr>
              <w:pStyle w:val="af3"/>
              <w:jc w:val="bot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лекарственном растительном сырье.</w:t>
            </w:r>
          </w:p>
          <w:p>
            <w:pPr>
              <w:pStyle w:val="af3"/>
              <w:jc w:val="bot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лекарственного растительного сырья.</w:t>
            </w:r>
          </w:p>
          <w:p>
            <w:pPr>
              <w:pStyle w:val="af3"/>
              <w:jc w:val="bot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Фармакогностический анализ и его назначение.</w:t>
            </w:r>
          </w:p>
          <w:p>
            <w:pPr>
              <w:pStyle w:val="af3"/>
              <w:jc w:val="bot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подлинности, качестве лекарственного растительного сырья, выбор метода для их определения.</w:t>
            </w:r>
          </w:p>
          <w:p>
            <w:pPr>
              <w:pStyle w:val="af3"/>
              <w:jc w:val="bot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Цель, задача и техника макроскопического анализа.</w:t>
            </w:r>
          </w:p>
          <w:p>
            <w:pPr>
              <w:pStyle w:val="af3"/>
              <w:jc w:val="bot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Морфологические группы лекарственного растительного сырья (листья, травы, цветки, плоды, семена, почки, коры, корни и корневища) и их диагностические признаки.</w:t>
            </w:r>
          </w:p>
          <w:p>
            <w:pPr>
              <w:pStyle w:val="af3"/>
              <w:jc w:val="bot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Фармакогностическое определение различных видов сырья.</w:t>
            </w:r>
          </w:p>
          <w:p>
            <w:pPr>
              <w:jc w:val="both"/>
              <w:numPr>
                <w:ilvl w:val="0"/>
                <w:numId w:val="15"/>
              </w:numPr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Нормативная документация на лекарственное растительное сырьё.</w:t>
            </w:r>
          </w:p>
          <w:p>
            <w:pPr>
              <w:jc w:val="both"/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left="360"/>
              <w:jc w:val="both"/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основами макроскопического фармакогностического анализа и спецификой проведения лабораторных занятий по работе с лекарственным растительным сырьём.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журнал;</w:t>
            </w:r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гербарии).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2.9: микроскопический анализ лекарственного растительного сырья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научиться проводить микроскопический анализ лекарственного растительного сырья.</w:t>
      </w: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ind w:firstLine="709"/>
        <w:jc w:val="both"/>
        <w:spacing w:after="0"/>
        <w:rPr>
          <w:rFonts w:ascii="Times New Roman" w:hAnsi="Times New Roman"/>
          <w:i/>
          <w:color w:val="000000"/>
          <w:sz w:val="28"/>
          <w:szCs w:val="28"/>
          <w:spacing w:val="-4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704"/>
        <w:gridCol w:w="9577"/>
      </w:tblGrid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pStyle w:val="af3"/>
              <w:jc w:val="bot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микроскопического анализа лекарственного растительного сырья.</w:t>
            </w:r>
          </w:p>
          <w:p>
            <w:pPr>
              <w:pStyle w:val="af3"/>
              <w:jc w:val="bot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приготовления микропрепаратов (размягчение, просветление, использование включающих жидкостей).</w:t>
            </w:r>
          </w:p>
          <w:p>
            <w:pPr>
              <w:pStyle w:val="af3"/>
              <w:jc w:val="bot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приготовления поверхностного препарата листа.</w:t>
            </w:r>
          </w:p>
          <w:p>
            <w:pPr>
              <w:pStyle w:val="af3"/>
              <w:jc w:val="bot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приготовления давленых микропрепаратов.</w:t>
            </w:r>
          </w:p>
          <w:p>
            <w:pPr>
              <w:jc w:val="both"/>
              <w:numPr>
                <w:ilvl w:val="0"/>
                <w:numId w:val="16"/>
              </w:numPr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Анатомическое строение и микроскопические диагностические признаки листьев, трав, цветков.</w:t>
            </w:r>
          </w:p>
          <w:p>
            <w:pPr>
              <w:ind w:left="360"/>
              <w:jc w:val="both"/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left="360"/>
              <w:jc w:val="both"/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основами микроскопического фармакогностического анализа.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журнал;</w:t>
            </w:r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реактивы, микроскоп).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/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2.10: микрохимический анализ лекарственного растительного сырья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научиться проводить микроскопический и микрохимический анализ лекарственного растительного сырья.</w:t>
      </w: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ind w:firstLine="709"/>
        <w:jc w:val="both"/>
        <w:spacing w:after="0"/>
        <w:rPr>
          <w:rFonts w:ascii="Times New Roman" w:hAnsi="Times New Roman"/>
          <w:i/>
          <w:color w:val="000000"/>
          <w:sz w:val="28"/>
          <w:szCs w:val="28"/>
          <w:spacing w:val="-4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704"/>
        <w:gridCol w:w="9577"/>
      </w:tblGrid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pStyle w:val="af3"/>
              <w:jc w:val="bot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микроскопического и микрохимического анализа лекарственного растительного сырья.</w:t>
            </w:r>
          </w:p>
          <w:p>
            <w:pPr>
              <w:pStyle w:val="af3"/>
              <w:jc w:val="bot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 техника приготовления микропрепаратов осевых органов растения и порошкованного лекарственного растительного сырья.</w:t>
            </w:r>
          </w:p>
          <w:p>
            <w:pPr>
              <w:pStyle w:val="af3"/>
              <w:jc w:val="bot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Анатомическое строение и микроскопические диагностические признаки плодов, семян, корней, корневищ, кор, почек.</w:t>
            </w:r>
          </w:p>
          <w:p>
            <w:pPr>
              <w:pStyle w:val="af3"/>
              <w:jc w:val="bot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Микрохимические реакции в микроскопическом анализе (на крахмал, слизь, жирное и эфирное масла, одревеснение, дубильные вещества, антраценпроизводные).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left="360"/>
              <w:jc w:val="both"/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основами микрохимического фармакогностического анализа.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журнал;</w:t>
            </w:r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реактивы, микроскоп).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/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2.11: приёмка лекарственного растительного сырья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изучение ОФС.1.1.0005.15 «Отбор проб лекарственного растительного сырья и лекарственных растительных препаратов» из Государственной фармакопеи Российской Федерации XIV издания.</w:t>
      </w: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ind w:firstLine="709"/>
        <w:jc w:val="both"/>
        <w:spacing w:after="0"/>
        <w:rPr>
          <w:rFonts w:ascii="Times New Roman" w:hAnsi="Times New Roman"/>
          <w:i/>
          <w:color w:val="000000"/>
          <w:sz w:val="28"/>
          <w:szCs w:val="28"/>
          <w:spacing w:val="-4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704"/>
        <w:gridCol w:w="9577"/>
      </w:tblGrid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основных моментов статьи по отбору проб лекарственного растительного сырья и лекарственных растительных препаратов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Основные термины и определения;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Общие положения;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Правила отбора проб;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 Отбор проб ЛРС (партия);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1.4.1. Таблица 1 – Объем выборки партии ЛРС/серии ЛРП;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1.4.2. Таблица 2 – Масса объединенной пробы ЛРС;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1.4.3. Формирование проб для проведения испытаний;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1.4.4. Таблица 3 – Масса средней пробы ЛРС и ЛРП;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1.4.5. Формирование аналитических проб;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1.4.6. Таблица 4 – Масса аналитических проб ЛРС и ЛРП;</w:t>
            </w:r>
          </w:p>
          <w:p>
            <w:pPr>
              <w:pStyle w:val="af3"/>
              <w:ind w:left="0" w:firstLine="71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1.4.7. Таблица 5 – Масса пробы ЛРС и ЛРП для проведения радиационного контроля;</w:t>
            </w:r>
          </w:p>
          <w:p>
            <w:pPr>
              <w:pStyle w:val="af3"/>
              <w:ind w:left="0" w:firstLine="71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Отбор проб ЛРП (серия);</w:t>
            </w:r>
          </w:p>
          <w:p>
            <w:pPr>
              <w:ind w:firstLine="71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1.5.1. Таблица 6 – Допустимые отклонения массы содержимого упаковки ЛРП, помещенного в пачку с внутренним пакетом;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 Требования к оборудованию при отборе проб;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 Маркировка отобранных проб;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 Документальное оформление отбора проб.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left="360"/>
              <w:jc w:val="both"/>
              <w:spacing w:after="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практических умений и навыков по отбору проб лекарственного растительного сырья и лекарственных растительных препаратов.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pStyle w:val="af3"/>
              <w:ind w:left="0" w:firstLine="709"/>
              <w:jc w:val="bot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журнал;</w:t>
            </w:r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/>
    <w:p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2.12: рубежный контроль по теме модуля «Фармацевтическая химия и фармакогнозия в практической деятельности провизора-аналитика»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занятия: лабораторная работа.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обобщить и систематизировать знания по фармацевтической химии и фармакогнозии в практической деятельности провизора-аналитика.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center"/>
      </w:tblPr>
      <w:tblGrid>
        <w:gridCol w:w="704"/>
        <w:gridCol w:w="9577"/>
      </w:tblGrid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ind w:firstLine="709"/>
              <w:jc w:val="both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2"/>
              </w:rPr>
              <w:t>Пробы и реакции идентификации катионов калия, 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>трия, аммония, магния, кальция, железа, цинка, свинца, висмута, ртути, се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2"/>
              </w:rPr>
              <w:t>ребра, меди (реактивы, условия, эффекты реакций).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pacing w:val="-3"/>
              </w:rPr>
              <w:t xml:space="preserve">Реакции идентификации анионов: хлоридов, бромидов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4"/>
              </w:rPr>
              <w:t xml:space="preserve">иодидов, сульфатов, фосфатов, нитритов, нитратов, боратов, карбонатов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pacing w:val="-3"/>
              </w:rPr>
              <w:t>гидрокарбонатов (реактивы, условия, эффекты реакций).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группа. Монофункциональные, полифункциональные, гетерофункциональные группы. Кислородосодержащие ФГ, азотосодержащие ФГ, ФГ, которые нельзя обобщить по одному признаку.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Реакционная способность и реакции идентификации лекарственных средств, содержащих спиртовую гидроксильную группу, включая многоатомные спирты; фенольную гидроксильную группу, карбоксильную группу (укажите типы реакций, реактивы, условия, эффекты).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простой и сложной эфирной связей (тип реакции, реактивы, условия, эффекты).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лекарственных средств, содержащих альдегидную группу (тип реакции, реактивы, условия, эффекты).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лекарственных средств, имеющих в структуре первичную ароматическую аминогруппу (реактивы, условия, эффекты реакций).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нитрогруппы, в том числе и ароматической.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сульфамидной группы (реактивы, условия, эффекты реакций).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амидов (первичных, вторичных и третичных) и гидразидов (реактивы, условия и эффекты реакций).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лекарственных средств, имеющих в структуре имидную группу (реактивы, условия, эффекты реакций).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идентификации лекарственных средств, имеющих в структуре ковалентно-связанную серу (реактивы, условия, эффекты реакций).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типы химических реакций, характерные для органических веществ по азотосодержащим ФГ. 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реакции конденсирования с карбонильными группами для установления подлинности лекарственных веществ из класса аминов.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лигниновой пробы для установления подлинности лекарственных веществ из класса аминов.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окислительной и восстановительной минерализации для установления подлинности лекарственных веществ из класса аминов.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нитритометрического метода в количественном анализе лекарственных веществ.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общеалкалоидных осадительных реактивов при испытании на подлинность лекарственных веществ из класса аминов.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алкалиметрического метода в количественном анализе лекарственных веществ.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спектрофотометрического метода в количественном анализе лекарственных веществ.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комплексонометрического метода в количественном анализе лекарственных веществ.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куприметрического метода в количественном анализе лекарственных веществ.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источники и причины недоброкачественности лекарственных средств.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Опишите природу и характер примесей. Специфические и неспецифические (общие) примеси. Допустимые и недопустимые примеси.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Опишите общие требования к испытаниям на чистоту. Эталонный и безэталонный способы определения примесей в лекарственных препаратах.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общие замечания по проведению испытаний на чистоту и допустимые пределы примесей.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Количественный фотометрический анализ: условия фотометрического определения; определение концентрации анализируемого раствора: метод градуировочного графика, метод одного стандарта, метод добавок серий; определение концентраций нескольких веществ при совместном присутствии.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Дифференциальный фотометрический анализ: сущность метода; способы определения концентраций.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Погрешности фотометрического анализа, их природа, устранение. 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 методов хроматографии.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Понятия о теории метода: параметры удерживания (время удерживания; время выхода; объем удерживания; коэффициент удерживания); параметры разделения (степень разделения, коэффициент разделения, число теоретических тарелок).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температуры на разделение смеси методами хроматографии.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методов хроматографии.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обработки хроматограмм: абсолютной калибровки; внутренней нормализации; внутреннего стандарта.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Комбинированные методы анализа: хромато-масс-спектрометрия; хромато-спектрофотометрия.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Жидкостная хроматография, высокоэффективная жидкостная хроматография: сущность метода; применение в фармации.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 ионообменной хроматографии.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Иониты: их типы, строение, обменная емкость, регенерация ионитов. 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Ионообменное равновесие: константа ионного обмена, её значение; коэффициент разделения ионов и коэффициент распределения.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ионообменной хроматографии. 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об ионной, ион-парной и лигандообменной хроматографии.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ионообменной хроматографии.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идентификации ЛС в фармацевтическом анализе. Общие реакции на подлинность в соответствии с требованиями ГФ XI</w:t>
            </w:r>
            <w:r>
              <w:rPr>
                <w:lang w:val="en-US"/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методы (осадительные, окислительно-восстановительные, элементный анализ) применяемые для количественного определения лекарственных средств, их достоинства и недостатки. Примеры.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методы (кислотно-основные, комплексонометрия, нитритометрия, гравиметрический метод), применяемые для количественного определения лекарственных средств, их достоинства и недостатки. Примеры.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и причины недоброкачественности ЛС. Типы реакций наиболее часто приводящих к изменению веществ под воздействием факторов окружающей среды. Природа и характер примесей.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фармакопейные положения для определения посторонних веществ в лекарственных средствах (испытания на хлориды, сульфаты, соли аммония, соли кальция, соли железа (II), (III), соли цинка, соли тяжелых металлов).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фармакопейные положения для определения посторонних веществ в лекарственных средствах (обнаружение примеси мышьяка в ЛП, определение воды и летучих веществ).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порошков как лекарственной формы.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Нормы отклонений, допустимые при изготовлении лекарств и фасовке промышленной продукции в аптеке (приказ № 751н). Расчет относительной ошибки определения.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внутриаптечного контроля, их практическое выполнение (приказ № 751н).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осуществления контроля качества лекарств, изготовленных в аптеке, экспресс-методом.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фармакогнозии как науки и учебной дисциплины.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развития фармакогнозии. Основные понятия и методы исследования.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лекарственном растительном сырье.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лекарственного растительного сырья.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Фармакогностический анализ и его назначение.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подлинности, качестве лекарственного растительного сырья, выбор метода для их определения.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Цель, задача и техника макроскопического анализа.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Морфологические группы лекарственного растительного сырья (листья, травы, цветки, плоды, семена, почки, коры, корни и корневища) и их диагностические признаки.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Фармакогностическое определение различных видов сырья.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Нормативная документация на лекарственное растительное сырьё.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микроскопического анализа лекарственного растительного сырья.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микрохимического анализа лекарственного растительного сырья.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приготовления микропрепаратов (размягчение, просветление, использование включающих жидкостей).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приготовления поверхностного препарата листа.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приготовления давленых микропрепаратов.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Анатомическое строение и микроскопические диагностические признаки листьев, трав, цветков.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 техника приготовления микропрепаратов осевых органов растения и порошкованного лекарственного растительного сырья.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Анатомическое строение и микроскопические диагностические признаки плодов, семян, корней, корневищ, кор, почек.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Микрохимические реакции в микроскопическом анализе (на крахмал, слизь, жирное и эфирное масла, одревеснение, дубильные вещества, антраценпроизводные).</w:t>
            </w:r>
          </w:p>
          <w:p>
            <w:pPr>
              <w:adjustRightInd/>
              <w:ind w:left="0" w:firstLine="609"/>
              <w:autoSpaceDE w:val="off"/>
              <w:autoSpaceDN w:val="off"/>
              <w:widowControl w:val="off"/>
              <w:suppressAutoHyphens/>
              <w:jc w:val="both"/>
              <w:suppressAutoHyphens/>
              <w:shd w:val="clear" w:color="auto" w:fill="FFFFFF"/>
              <w:numPr>
                <w:ilvl w:val="0"/>
                <w:numId w:val="18"/>
              </w:numPr>
              <w:tabs>
                <w:tab w:val="num" w:pos="360"/>
                <w:tab w:val="clear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pacing w:val="-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основных моментов статьи по отбору проб лекарственного растительного сырья и лекарственных растительных препаратов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Основные термины и определения;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Общие положения;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Правила отбора проб;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 Отбор проб ЛРС (партия);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1.4.1. Таблица 1 – Объем выборки партии ЛРС/серии ЛРП;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1.4.2. Таблица 2 – Масса объединенной пробы ЛРС;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1.4.3. Формирование проб для проведения испытаний;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1.4.4. Таблица 3 – Масса средней пробы ЛРС и ЛРП;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1.4.5. Формирование аналитических проб;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1.4.6. Таблица 4 – Масса аналитических проб ЛРС и ЛРП;</w:t>
            </w:r>
          </w:p>
          <w:p>
            <w:pPr>
              <w:pStyle w:val="af3"/>
              <w:ind w:left="0" w:firstLine="71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1.4.7. Таблица 5 – Масса пробы ЛРС и ЛРП для проведения радиационного контроля;</w:t>
            </w:r>
          </w:p>
          <w:p>
            <w:pPr>
              <w:pStyle w:val="af3"/>
              <w:ind w:left="0" w:firstLine="71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Отбор проб ЛРП (серия);</w:t>
            </w:r>
          </w:p>
          <w:p>
            <w:pPr>
              <w:ind w:firstLine="719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1.5.1. Таблица 6 – Допустимые отклонения массы содержимого упаковки ЛРП, помещенного в пачку с внутренним пакетом;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 Требования к оборудованию при отборе проб;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 Маркировка отобранных проб;</w:t>
            </w:r>
          </w:p>
          <w:p>
            <w:pPr>
              <w:pStyle w:val="af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 Документальное оформление отбора проб.</w:t>
            </w:r>
          </w:p>
        </w:tc>
      </w:tr>
      <w:tr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hanging="120"/>
              <w:jc w:val="center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="709"/>
              <w:jc w:val="both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ind w:left="0" w:firstLine="709"/>
              <w:contextualSpacing/>
              <w:jc w:val="both"/>
              <w:numPr>
                <w:ilvl w:val="0"/>
                <w:numId w:val="3"/>
              </w:numPr>
              <w:spacing w:after="0"/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  <w:spacing w:val="-6"/>
              </w:rPr>
              <w:t>подведение итогов занятия;</w:t>
            </w:r>
          </w:p>
          <w:p>
            <w:pPr>
              <w:ind w:left="0" w:firstLine="709"/>
              <w:contextualSpacing/>
              <w:jc w:val="both"/>
              <w:numPr>
                <w:ilvl w:val="0"/>
                <w:numId w:val="3"/>
              </w:numPr>
              <w:spacing w:after="0"/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lang w:eastAsia="en-US"/>
                <w:rFonts w:ascii="Times New Roman" w:eastAsia="Calibri" w:hAnsi="Times New Roman"/>
                <w:color w:val="000000"/>
                <w:sz w:val="28"/>
                <w:szCs w:val="28"/>
                <w:spacing w:val="-6"/>
              </w:rPr>
              <w:t>выставление текущих оценок в учебный журнал;</w:t>
            </w:r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/>
    <w:sectPr>
      <w:pgSz w:w="11906" w:h="16838"/>
      <w:pgMar w:top="567" w:right="567" w:bottom="567" w:left="1134" w:header="709" w:footer="709" w:gutter="0"/>
      <w:cols w:space="708"/>
      <w:docGrid w:linePitch="360"/>
      <w:footerReference w:type="default" r:id="rId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504"/>
    <w:multiLevelType w:val="multilevel"/>
    <w:tmpl w:val="af502c4e"/>
    <w:lvl w:ilvl="0">
      <w:start w:val="1"/>
      <w:lvlText w:val="%1."/>
      <w:lvlJc w:val="left"/>
      <w:pPr>
        <w:ind w:left="1069" w:hanging="360"/>
      </w:pPr>
      <w:rPr>
        <w:rFonts w:hint="default"/>
      </w:rPr>
    </w:lvl>
    <w:lvl w:ilvl="1">
      <w:start w:val="4"/>
      <w:lvlText w:val="%1.%2"/>
      <w:lvlJc w:val="left"/>
      <w:isLgl/>
      <w:pPr>
        <w:ind w:left="1314" w:hanging="600"/>
      </w:pPr>
      <w:rPr>
        <w:rFonts w:hint="default"/>
      </w:rPr>
    </w:lvl>
    <w:lvl w:ilvl="2">
      <w:start w:val="7"/>
      <w:lvlText w:val="%1.%2.%3"/>
      <w:lvlJc w:val="left"/>
      <w:isLgl/>
      <w:pPr>
        <w:ind w:left="1439" w:hanging="720"/>
      </w:pPr>
      <w:rPr>
        <w:rFonts w:hint="default"/>
      </w:rPr>
    </w:lvl>
    <w:lvl w:ilvl="3">
      <w:start w:val="1"/>
      <w:lvlText w:val="%1.%2.%3.%4"/>
      <w:lvlJc w:val="left"/>
      <w:isLgl/>
      <w:pPr>
        <w:ind w:left="1804" w:hanging="1080"/>
      </w:pPr>
      <w:rPr>
        <w:rFonts w:hint="default"/>
      </w:rPr>
    </w:lvl>
    <w:lvl w:ilvl="4">
      <w:start w:val="1"/>
      <w:lvlText w:val="%1.%2.%3.%4.%5"/>
      <w:lvlJc w:val="left"/>
      <w:isLgl/>
      <w:pPr>
        <w:ind w:left="1809" w:hanging="1080"/>
      </w:pPr>
      <w:rPr>
        <w:rFonts w:hint="default"/>
      </w:rPr>
    </w:lvl>
    <w:lvl w:ilvl="5">
      <w:start w:val="1"/>
      <w:lvlText w:val="%1.%2.%3.%4.%5.%6"/>
      <w:lvlJc w:val="left"/>
      <w:isLgl/>
      <w:pPr>
        <w:ind w:left="2174" w:hanging="1440"/>
      </w:pPr>
      <w:rPr>
        <w:rFonts w:hint="default"/>
      </w:rPr>
    </w:lvl>
    <w:lvl w:ilvl="6">
      <w:start w:val="1"/>
      <w:lvlText w:val="%1.%2.%3.%4.%5.%6.%7"/>
      <w:lvlJc w:val="left"/>
      <w:isLgl/>
      <w:pPr>
        <w:ind w:left="2179" w:hanging="1440"/>
      </w:pPr>
      <w:rPr>
        <w:rFonts w:hint="default"/>
      </w:rPr>
    </w:lvl>
    <w:lvl w:ilvl="7">
      <w:start w:val="1"/>
      <w:lvlText w:val="%1.%2.%3.%4.%5.%6.%7.%8"/>
      <w:lvlJc w:val="left"/>
      <w:isLgl/>
      <w:pPr>
        <w:ind w:left="2544" w:hanging="1800"/>
      </w:pPr>
      <w:rPr>
        <w:rFonts w:hint="default"/>
      </w:rPr>
    </w:lvl>
    <w:lvl w:ilvl="8">
      <w:start w:val="1"/>
      <w:lvlText w:val="%1.%2.%3.%4.%5.%6.%7.%8.%9"/>
      <w:lvlJc w:val="left"/>
      <w:isLgl/>
      <w:pPr>
        <w:ind w:left="2909" w:hanging="2160"/>
      </w:pPr>
      <w:rPr>
        <w:rFonts w:hint="default"/>
      </w:rPr>
    </w:lvl>
  </w:abstractNum>
  <w:abstractNum w:abstractNumId="2">
    <w:nsid w:val="53b5d8d"/>
    <w:multiLevelType w:val="singleLevel"/>
    <w:tmpl w:val="81146906"/>
    <w:lvl w:ilvl="0">
      <w:start w:val="1"/>
      <w:lvlText w:val="%1."/>
      <w:lvlJc w:val="left"/>
      <w:rPr>
        <w:rFonts w:ascii="Times New Roman" w:hAnsi="Times New Roman" w:cs="Times New Roman" w:hint="default"/>
      </w:rPr>
    </w:lvl>
  </w:abstractNum>
  <w:abstractNum w:abstractNumId="3">
    <w:nsid w:val="5efe1138"/>
    <w:multiLevelType w:val="singleLevel"/>
    <w:tmpl w:val="419000f"/>
    <w:lvl w:ilvl="0">
      <w:start w:val="1"/>
      <w:lvlText w:val="%1."/>
      <w:lvlJc w:val="left"/>
      <w:pPr>
        <w:ind w:left="360" w:hanging="360"/>
        <w:tabs>
          <w:tab w:val="num" w:pos="360"/>
        </w:tabs>
      </w:pPr>
    </w:lvl>
  </w:abstractNum>
  <w:abstractNum w:abstractNumId="4">
    <w:nsid w:val="6ec84dcc"/>
    <w:multiLevelType w:val="hybridMultilevel"/>
    <w:tmpl w:val="b5921532"/>
    <w:lvl w:ilvl="0" w:tplc="4190005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 w:tplc="4190003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entative="on" w:tplc="4190005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entative="on" w:tplc="4190001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 w:tplc="4190003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entative="on" w:tplc="4190005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entative="on" w:tplc="4190001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 w:tplc="4190003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entative="on" w:tplc="4190005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abstractNum w:abstractNumId="5">
    <w:nsid w:val="72fa3f65"/>
    <w:multiLevelType w:val="singleLevel"/>
    <w:tmpl w:val="419000f"/>
    <w:lvl w:ilvl="0">
      <w:start w:val="1"/>
      <w:lvlText w:val="%1."/>
      <w:lvlJc w:val="left"/>
      <w:pPr>
        <w:ind w:left="360" w:hanging="360"/>
        <w:tabs>
          <w:tab w:val="num" w:pos="360"/>
        </w:tabs>
      </w:pPr>
      <w:rPr>
        <w:rFonts w:hint="default"/>
      </w:rPr>
    </w:lvl>
  </w:abstractNum>
  <w:abstractNum w:abstractNumId="6">
    <w:nsid w:val="16b021e"/>
    <w:multiLevelType w:val="hybridMultilevel"/>
    <w:tmpl w:val="7098ef48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c497b"/>
    <w:multiLevelType w:val="hybridMultilevel"/>
    <w:tmpl w:val="635e626c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>
        <w:rFonts w:hint="default"/>
      </w:rPr>
    </w:lvl>
    <w:lvl w:ilvl="1" w:tplc="4190007">
      <w:start w:val="1"/>
      <w:numFmt w:val="bullet"/>
      <w:lvlText w:val=""/>
      <w:lvlJc w:val="left"/>
      <w:pPr>
        <w:ind w:left="1440" w:hanging="360"/>
        <w:tabs>
          <w:tab w:val="num" w:pos="1440"/>
        </w:tabs>
      </w:pPr>
      <w:rPr>
        <w:rFonts w:ascii="Wingdings" w:hAnsi="Wingdings" w:hint="default"/>
        <w:sz w:val="16"/>
      </w:rPr>
    </w:lvl>
    <w:lvl w:ilvl="2" w:tentative="on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entative="on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entative="on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abstractNum w:abstractNumId="8">
    <w:nsid w:val="4b35025e"/>
    <w:multiLevelType w:val="multilevel"/>
    <w:tmpl w:val="37fc2d70"/>
    <w:lvl w:ilvl="0">
      <w:start w:val="1"/>
      <w:lvlText w:val="%1."/>
      <w:lvlJc w:val="left"/>
      <w:rPr>
        <w:rFonts w:ascii="Times New Roman" w:hAnsi="Times New Roman" w:cs="Times New Roman" w:hint="default"/>
      </w:rPr>
    </w:lvl>
    <w:lvl w:ilvl="1">
      <w:start w:val="5"/>
      <w:lvlText w:val="%1.%2."/>
      <w:lvlJc w:val="left"/>
      <w:isLgl/>
      <w:pPr>
        <w:ind w:left="720" w:hanging="720"/>
      </w:pPr>
      <w:rPr>
        <w:rFonts w:hint="default"/>
      </w:rPr>
    </w:lvl>
    <w:lvl w:ilvl="2">
      <w:start w:val="1"/>
      <w:lvlText w:val="%1.%2.%3."/>
      <w:lvlJc w:val="left"/>
      <w:isLgl/>
      <w:pPr>
        <w:ind w:left="720" w:hanging="720"/>
      </w:pPr>
      <w:rPr>
        <w:rFonts w:hint="default"/>
      </w:rPr>
    </w:lvl>
    <w:lvl w:ilvl="3">
      <w:start w:val="1"/>
      <w:lvlText w:val="%1.%2.%3.%4."/>
      <w:lvlJc w:val="left"/>
      <w:isLgl/>
      <w:pPr>
        <w:ind w:left="1080" w:hanging="1080"/>
      </w:pPr>
      <w:rPr>
        <w:rFonts w:hint="default"/>
      </w:rPr>
    </w:lvl>
    <w:lvl w:ilvl="4">
      <w:start w:val="1"/>
      <w:lvlText w:val="%1.%2.%3.%4.%5."/>
      <w:lvlJc w:val="left"/>
      <w:isLgl/>
      <w:pPr>
        <w:ind w:left="1080" w:hanging="1080"/>
      </w:pPr>
      <w:rPr>
        <w:rFonts w:hint="default"/>
      </w:rPr>
    </w:lvl>
    <w:lvl w:ilvl="5">
      <w:start w:val="1"/>
      <w:lvlText w:val="%1.%2.%3.%4.%5.%6."/>
      <w:lvlJc w:val="left"/>
      <w:isLgl/>
      <w:pPr>
        <w:ind w:left="1440" w:hanging="1440"/>
      </w:pPr>
      <w:rPr>
        <w:rFonts w:hint="default"/>
      </w:rPr>
    </w:lvl>
    <w:lvl w:ilvl="6">
      <w:start w:val="1"/>
      <w:lvlText w:val="%1.%2.%3.%4.%5.%6.%7."/>
      <w:lvlJc w:val="left"/>
      <w:isLgl/>
      <w:pPr>
        <w:ind w:left="1800" w:hanging="1800"/>
      </w:pPr>
      <w:rPr>
        <w:rFonts w:hint="default"/>
      </w:rPr>
    </w:lvl>
    <w:lvl w:ilvl="7">
      <w:start w:val="1"/>
      <w:lvlText w:val="%1.%2.%3.%4.%5.%6.%7.%8."/>
      <w:lvlJc w:val="left"/>
      <w:isLgl/>
      <w:pPr>
        <w:ind w:left="1800" w:hanging="1800"/>
      </w:pPr>
      <w:rPr>
        <w:rFonts w:hint="default"/>
      </w:rPr>
    </w:lvl>
    <w:lvl w:ilvl="8">
      <w:start w:val="1"/>
      <w:lvlText w:val="%1.%2.%3.%4.%5.%6.%7.%8.%9."/>
      <w:lvlJc w:val="left"/>
      <w:isLgl/>
      <w:pPr>
        <w:ind w:left="2160" w:hanging="2160"/>
      </w:pPr>
      <w:rPr>
        <w:rFonts w:hint="default"/>
      </w:rPr>
    </w:lvl>
  </w:abstractNum>
  <w:abstractNum w:abstractNumId="9">
    <w:nsid w:val="6ae10f47"/>
    <w:multiLevelType w:val="hybridMultilevel"/>
    <w:tmpl w:val="f94c654e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672f7"/>
    <w:multiLevelType w:val="hybridMultilevel"/>
    <w:tmpl w:val="834c6564"/>
    <w:lvl w:ilvl="0" w:tplc="402ad5b6">
      <w:start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entative="on" w:tplc="4190019">
      <w:start w:val="1"/>
      <w:numFmt w:val="lowerLetter"/>
      <w:lvlText w:val="%2."/>
      <w:lvlJc w:val="left"/>
      <w:pPr>
        <w:ind w:left="1789" w:hanging="360"/>
      </w:pPr>
    </w:lvl>
    <w:lvl w:ilvl="2" w:tentative="on" w:tplc="419001b">
      <w:start w:val="1"/>
      <w:numFmt w:val="lowerRoman"/>
      <w:lvlText w:val="%3."/>
      <w:lvlJc w:val="right"/>
      <w:pPr>
        <w:ind w:left="2509" w:hanging="180"/>
      </w:pPr>
    </w:lvl>
    <w:lvl w:ilvl="3" w:tentative="on" w:tplc="419000f">
      <w:start w:val="1"/>
      <w:lvlText w:val="%4."/>
      <w:lvlJc w:val="left"/>
      <w:pPr>
        <w:ind w:left="3229" w:hanging="360"/>
      </w:pPr>
    </w:lvl>
    <w:lvl w:ilvl="4" w:tentative="on" w:tplc="4190019">
      <w:start w:val="1"/>
      <w:numFmt w:val="lowerLetter"/>
      <w:lvlText w:val="%5."/>
      <w:lvlJc w:val="left"/>
      <w:pPr>
        <w:ind w:left="3949" w:hanging="360"/>
      </w:pPr>
    </w:lvl>
    <w:lvl w:ilvl="5" w:tentative="on" w:tplc="419001b">
      <w:start w:val="1"/>
      <w:numFmt w:val="lowerRoman"/>
      <w:lvlText w:val="%6."/>
      <w:lvlJc w:val="right"/>
      <w:pPr>
        <w:ind w:left="4669" w:hanging="180"/>
      </w:pPr>
    </w:lvl>
    <w:lvl w:ilvl="6" w:tentative="on" w:tplc="419000f">
      <w:start w:val="1"/>
      <w:lvlText w:val="%7."/>
      <w:lvlJc w:val="left"/>
      <w:pPr>
        <w:ind w:left="5389" w:hanging="360"/>
      </w:pPr>
    </w:lvl>
    <w:lvl w:ilvl="7" w:tentative="on" w:tplc="4190019">
      <w:start w:val="1"/>
      <w:numFmt w:val="lowerLetter"/>
      <w:lvlText w:val="%8."/>
      <w:lvlJc w:val="left"/>
      <w:pPr>
        <w:ind w:left="6109" w:hanging="360"/>
      </w:pPr>
    </w:lvl>
    <w:lvl w:ilvl="8" w:tentative="on" w:tplc="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08352e"/>
    <w:multiLevelType w:val="hybridMultilevel"/>
    <w:tmpl w:val="891a1992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54fef"/>
    <w:multiLevelType w:val="hybridMultilevel"/>
    <w:tmpl w:val="e24b60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c568d"/>
    <w:multiLevelType w:val="hybridMultilevel"/>
    <w:tmpl w:val="ffa3e5e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d4f16"/>
    <w:multiLevelType w:val="hybridMultilevel"/>
    <w:tmpl w:val="ba1076ec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e4bb8"/>
    <w:multiLevelType w:val="hybridMultilevel"/>
    <w:tmpl w:val="891a1992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8141c88"/>
    <w:multiLevelType w:val="singleLevel"/>
    <w:tmpl w:val="81146906"/>
    <w:lvl w:ilvl="0">
      <w:start w:val="1"/>
      <w:lvlText w:val="%1."/>
      <w:lvlJc w:val="left"/>
      <w:rPr>
        <w:rFonts w:ascii="Times New Roman" w:hAnsi="Times New Roman" w:cs="Times New Roman" w:hint="default"/>
      </w:rPr>
    </w:lvl>
  </w:abstractNum>
  <w:abstractNum w:abstractNumId="17">
    <w:nsid w:val="27bf0bcd"/>
    <w:multiLevelType w:val="hybridMultilevel"/>
    <w:tmpl w:val="b5921532"/>
    <w:lvl w:ilvl="0" w:tplc="4190005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 w:tplc="4190003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entative="on" w:tplc="4190005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entative="on" w:tplc="4190001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 w:tplc="4190003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entative="on" w:tplc="4190005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entative="on" w:tplc="4190001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 w:tplc="4190003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entative="on" w:tplc="4190005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16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rPr>
      <w:lang w:eastAsia="ru-RU"/>
      <w:rFonts w:ascii="Calibri" w:eastAsia="Times New Roman" w:hAnsi="Calibri" w:cs="Times New Roman"/>
    </w:rPr>
  </w:style>
  <w:style w:type="character" w:default="1" w:styleId="a2">
    <w:name w:val="Default Paragraph Font"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b">
    <w:name w:val="Нижний колонтитул Знак"/>
    <w:basedOn w:val="a2"/>
    <w:link w:val="footer"/>
    <w:rPr>
      <w:lang w:eastAsia="ru-RU"/>
      <w:rFonts w:ascii="Calibri" w:eastAsia="Times New Roman" w:hAnsi="Calibri" w:cs="Times New Roman"/>
    </w:rPr>
  </w:style>
  <w:style w:type="paragraph" w:styleId="af3">
    <w:name w:val="List Paragraph"/>
    <w:basedOn w:val="a1"/>
    <w:qFormat/>
    <w:pPr>
      <w:ind w:left="720"/>
      <w:contextualSpacing/>
    </w:pPr>
    <w:rPr>
      <w:lang w:eastAsia="en-US"/>
      <w:rFonts w:eastAsia="Calibri"/>
    </w:rPr>
  </w:style>
  <w:style w:type="paragraph" w:styleId="affa">
    <w:name w:val="footer"/>
    <w:basedOn w:val="a1"/>
    <w:link w:val="Нижний колонтитул Знак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fffff1">
    <w:name w:val="Table Grid"/>
    <w:basedOn w:val="a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3"/>
    <w:next w:val="afffff1"/>
    <w:pPr>
      <w:adjustRightInd/>
      <w:autoSpaceDE w:val="off"/>
      <w:autoSpaceDN w:val="off"/>
      <w:widowControl w:val="off"/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fffff1"/>
    <w:pPr>
      <w:adjustRightInd/>
      <w:autoSpaceDE w:val="off"/>
      <w:autoSpaceDN w:val="off"/>
      <w:widowControl w:val="off"/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3"/>
    <w:next w:val="afffff1"/>
    <w:pPr>
      <w:adjustRightInd/>
      <w:autoSpaceDE w:val="off"/>
      <w:autoSpaceDN w:val="off"/>
      <w:widowControl w:val="off"/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</cp:revision>
  <dcterms:created xsi:type="dcterms:W3CDTF">2021-02-18T14:55:00Z</dcterms:created>
  <dcterms:modified xsi:type="dcterms:W3CDTF">2021-03-29T18:14:00Z</dcterms:modified>
  <cp:lastPrinted>2019-02-05T10:00:00Z</cp:lastPrinted>
  <cp:version>0900.0100.01</cp:version>
</cp:coreProperties>
</file>