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media/image6.png" ContentType="image/png"/>
  <Override PartName="/word/media/image8.jpeg" ContentType="image/jpeg"/>
  <Override PartName="/word/media/image7.png" ContentType="image/png"/>
  <Override PartName="/word/media/image9.jpeg" ContentType="image/jpeg"/>
  <Override PartName="/word/media/image10.png" ContentType="image/png"/>
  <Override PartName="/word/media/image11.png" ContentType="image/png"/>
  <Override PartName="/word/media/image12.jpeg" ContentType="image/jpeg"/>
  <Override PartName="/word/media/image13.png" ContentType="image/png"/>
  <Override PartName="/word/media/image14.jpeg" ContentType="image/jpeg"/>
  <Override PartName="/word/media/image15.png" ContentType="image/png"/>
  <Override PartName="/word/media/image16.png" ContentType="image/png"/>
  <Override PartName="/word/media/image17.png" ContentType="image/png"/>
  <Override PartName="/word/media/image24.jpeg" ContentType="image/jpeg"/>
  <Override PartName="/word/media/image18.png" ContentType="image/png"/>
  <Override PartName="/word/media/image19.png" ContentType="image/pn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 xml:space="preserve">федеральное государственное бюджетное образовательное учреждение </w:t>
      </w:r>
    </w:p>
    <w:p>
      <w:pPr>
        <w:pStyle w:val="Normal"/>
        <w:jc w:val="center"/>
        <w:rPr/>
      </w:pPr>
      <w:r>
        <w:rPr/>
        <w:t>высшего образования</w:t>
      </w:r>
    </w:p>
    <w:p>
      <w:pPr>
        <w:pStyle w:val="Normal"/>
        <w:jc w:val="center"/>
        <w:rPr/>
      </w:pPr>
      <w:r>
        <w:rPr/>
        <w:t>«Оренбургский государственный медицинский университет»</w:t>
      </w:r>
    </w:p>
    <w:p>
      <w:pPr>
        <w:pStyle w:val="Normal"/>
        <w:jc w:val="center"/>
        <w:rPr/>
      </w:pPr>
      <w:r>
        <w:rPr/>
        <w:t>Министерства здравоохранения Российской Федерации</w:t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center"/>
        <w:rPr>
          <w:b/>
          <w:b/>
          <w:color w:val="000000"/>
        </w:rPr>
      </w:pPr>
      <w:r>
        <w:rPr>
          <w:b/>
          <w:color w:val="000000"/>
        </w:rPr>
        <w:t xml:space="preserve">ФОНД ОЦЕНОЧНЫХ СРЕДСТВ </w:t>
      </w:r>
    </w:p>
    <w:p>
      <w:pPr>
        <w:pStyle w:val="Normal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center"/>
        <w:rPr>
          <w:b/>
          <w:b/>
          <w:color w:val="000000"/>
        </w:rPr>
      </w:pPr>
      <w:r>
        <w:rPr>
          <w:b/>
          <w:color w:val="000000"/>
        </w:rPr>
        <w:t xml:space="preserve">ДЛЯ ПРОВЕДЕНИЯ ТЕКУЩЕГО </w:t>
      </w:r>
    </w:p>
    <w:p>
      <w:pPr>
        <w:pStyle w:val="Normal"/>
        <w:jc w:val="center"/>
        <w:rPr>
          <w:b/>
          <w:b/>
          <w:color w:val="000000"/>
        </w:rPr>
      </w:pPr>
      <w:r>
        <w:rPr>
          <w:b/>
          <w:color w:val="000000"/>
        </w:rPr>
        <w:t xml:space="preserve">КОНТРОЛЯ УСПЕВАЕМОСТИ И ПРОМЕЖУТОЧНОЙ АТТЕСТАЦИИ </w:t>
      </w:r>
    </w:p>
    <w:p>
      <w:pPr>
        <w:pStyle w:val="Normal"/>
        <w:jc w:val="center"/>
        <w:rPr>
          <w:b/>
          <w:b/>
          <w:color w:val="000000"/>
        </w:rPr>
      </w:pPr>
      <w:r>
        <w:rPr>
          <w:b/>
          <w:color w:val="000000"/>
        </w:rPr>
        <w:t>ОБУЧАЮЩИХСЯ ДИСЦИПЛИНЕ ПО ВЫБОРУ «УЛЬТРАЗВУКОВАЯ ДИАГНОСТИКА В ПЕДИАТРИИ»</w:t>
      </w:r>
    </w:p>
    <w:p>
      <w:pPr>
        <w:pStyle w:val="Normal"/>
        <w:jc w:val="center"/>
        <w:rPr/>
      </w:pPr>
      <w:r>
        <w:rPr/>
        <w:t>___________________________</w:t>
      </w:r>
    </w:p>
    <w:p>
      <w:pPr>
        <w:pStyle w:val="Normal"/>
        <w:jc w:val="center"/>
        <w:rPr/>
      </w:pPr>
      <w:r>
        <w:rPr/>
        <w:t>по специальности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 xml:space="preserve">31.08.11 </w:t>
      </w:r>
      <w:r>
        <w:rPr>
          <w:b/>
          <w:color w:val="000000"/>
        </w:rPr>
        <w:t>УЛЬТРАЗВУКОВАЯ ДИАГНОСТИКА</w:t>
      </w:r>
    </w:p>
    <w:p>
      <w:pPr>
        <w:pStyle w:val="Normal"/>
        <w:jc w:val="righ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righ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righ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righ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righ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righ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righ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righ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righ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right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right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Является частью основной профессиональной образовательной программы высшего образования по специальности 31.08.11 «Ультразвуковая диагностика», утвержденной ученым советом ФГБОУ ВО ОрГМУ Минздрава России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color w:val="000000"/>
        </w:rPr>
      </w:pPr>
      <w:r>
        <w:rPr>
          <w:color w:val="000000"/>
        </w:rPr>
        <w:t>протокол № _________  от «___» ______________20___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Оренбург</w:t>
      </w:r>
      <w:r>
        <w:br w:type="page"/>
      </w:r>
    </w:p>
    <w:p>
      <w:pPr>
        <w:pStyle w:val="ListParagraph"/>
        <w:numPr>
          <w:ilvl w:val="0"/>
          <w:numId w:val="0"/>
        </w:numPr>
        <w:ind w:left="709" w:hanging="0"/>
        <w:jc w:val="center"/>
        <w:outlineLvl w:val="0"/>
        <w:rPr>
          <w:rFonts w:ascii="Times New Roman" w:hAnsi="Times New Roman"/>
          <w:b/>
          <w:b/>
          <w:color w:val="000000"/>
          <w:sz w:val="24"/>
          <w:szCs w:val="24"/>
        </w:rPr>
      </w:pPr>
      <w:bookmarkStart w:id="0" w:name="_Toc535164689"/>
      <w:r>
        <w:rPr>
          <w:rFonts w:ascii="Times New Roman" w:hAnsi="Times New Roman"/>
          <w:b/>
          <w:color w:val="000000"/>
          <w:sz w:val="24"/>
          <w:szCs w:val="24"/>
        </w:rPr>
        <w:t>1.Паспорт фонда оценочных средств</w:t>
      </w:r>
      <w:bookmarkEnd w:id="0"/>
    </w:p>
    <w:p>
      <w:pPr>
        <w:pStyle w:val="ListParagraph"/>
        <w:ind w:left="0" w:firstLine="709"/>
        <w:rPr>
          <w:rFonts w:ascii="Times New Roman" w:hAnsi="Times New Roman"/>
          <w:b/>
          <w:b/>
          <w:i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</w:r>
    </w:p>
    <w:p>
      <w:pPr>
        <w:pStyle w:val="ListParagraph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Фонд оценочных средств по дисциплине содержит типовые контрольно-оценочные материалы для текущего контроля успеваемости обучающихся, в том числе контроля самостоятельной работы обучающихся, а также для контроля сформированных в процессе изучения дисциплины результатов обучения на промежуточной аттестации в форме зачета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.</w:t>
      </w:r>
    </w:p>
    <w:p>
      <w:pPr>
        <w:pStyle w:val="ListParagraph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определенной в учебной плане ОПОП и направлены на проверку сформированности знаний, умений и навыков по каждой компетенции, установленной в рабочей программе дисциплины.</w:t>
      </w:r>
    </w:p>
    <w:p>
      <w:pPr>
        <w:pStyle w:val="ListParagraph"/>
        <w:ind w:left="0" w:firstLine="709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дисциплины у обучающегося формируются </w:t>
      </w:r>
      <w:r>
        <w:rPr>
          <w:rFonts w:ascii="Times New Roman" w:hAnsi="Times New Roman"/>
          <w:b/>
          <w:color w:val="000000"/>
          <w:sz w:val="24"/>
          <w:szCs w:val="24"/>
        </w:rPr>
        <w:t>следующие компетенции:</w:t>
      </w:r>
    </w:p>
    <w:p>
      <w:pPr>
        <w:pStyle w:val="ListParagraph"/>
        <w:numPr>
          <w:ilvl w:val="0"/>
          <w:numId w:val="0"/>
        </w:numPr>
        <w:ind w:left="284" w:hanging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ПК-1 –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обитания.</w:t>
      </w:r>
    </w:p>
    <w:p>
      <w:pPr>
        <w:pStyle w:val="ListParagraph"/>
        <w:numPr>
          <w:ilvl w:val="0"/>
          <w:numId w:val="0"/>
        </w:numPr>
        <w:ind w:left="284" w:hanging="0"/>
        <w:outlineLvl w:val="0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ПК-2 –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>
      <w:pPr>
        <w:pStyle w:val="ListParagraph"/>
        <w:numPr>
          <w:ilvl w:val="0"/>
          <w:numId w:val="0"/>
        </w:numPr>
        <w:ind w:left="284" w:hanging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ПК-5 –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здоровьем.</w:t>
      </w:r>
    </w:p>
    <w:p>
      <w:pPr>
        <w:pStyle w:val="ListParagraph"/>
        <w:numPr>
          <w:ilvl w:val="0"/>
          <w:numId w:val="0"/>
        </w:numPr>
        <w:ind w:left="284" w:hanging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ПК-6 – 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1"/>
          <w:szCs w:val="24"/>
        </w:rPr>
        <w:t>готовность к применению методов ультразвуковой диагностики и интерпретации их результатов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0"/>
        </w:numPr>
        <w:ind w:left="284" w:hanging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ПК-7 -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организации медицинской помощи при чрезвычайных ситуациях, в том числе медицинской эвакуации</w:t>
      </w:r>
    </w:p>
    <w:p>
      <w:pPr>
        <w:pStyle w:val="ListParagraph"/>
        <w:numPr>
          <w:ilvl w:val="0"/>
          <w:numId w:val="0"/>
        </w:numPr>
        <w:ind w:left="284" w:hanging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ПК-8 –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реабилитации.</w:t>
      </w:r>
    </w:p>
    <w:p>
      <w:pPr>
        <w:pStyle w:val="ListParagraph"/>
        <w:numPr>
          <w:ilvl w:val="0"/>
          <w:numId w:val="0"/>
        </w:numPr>
        <w:ind w:left="284" w:hanging="0"/>
        <w:outlineLvl w:val="0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ПК-9 -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окружающих.</w:t>
      </w:r>
    </w:p>
    <w:p>
      <w:pPr>
        <w:pStyle w:val="ListParagraph"/>
        <w:numPr>
          <w:ilvl w:val="0"/>
          <w:numId w:val="0"/>
        </w:numPr>
        <w:ind w:left="284" w:hanging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ПК-10 - </w:t>
      </w:r>
      <w:r>
        <w:rPr>
          <w:rFonts w:ascii="Times New Roman" w:hAnsi="Times New Roman"/>
          <w:bCs/>
          <w:color w:val="000000"/>
          <w:sz w:val="24"/>
          <w:szCs w:val="24"/>
        </w:rPr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</w:r>
    </w:p>
    <w:p>
      <w:pPr>
        <w:pStyle w:val="ListParagraph"/>
        <w:numPr>
          <w:ilvl w:val="0"/>
          <w:numId w:val="0"/>
        </w:numPr>
        <w:ind w:left="284" w:hanging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ind w:left="709" w:hanging="0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ind w:left="709" w:hanging="0"/>
        <w:outlineLvl w:val="0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</w:r>
      <w:bookmarkStart w:id="1" w:name="_Toc535164690"/>
      <w:bookmarkStart w:id="2" w:name="_Toc535164690"/>
      <w:bookmarkEnd w:id="2"/>
    </w:p>
    <w:p>
      <w:pPr>
        <w:pStyle w:val="ListParagraph"/>
        <w:ind w:left="0" w:firstLine="709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Оценочные материалы по каждой теме дисциплины</w:t>
      </w:r>
    </w:p>
    <w:p>
      <w:pPr>
        <w:pStyle w:val="Normal"/>
        <w:ind w:firstLine="709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 SEQ AutoNr \* ARABIC 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1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«Ультразвуковая диагностика заболеваний головного мозга у детей».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>
      <w:pPr>
        <w:pStyle w:val="Normal"/>
        <w:ind w:firstLine="709"/>
        <w:rPr/>
      </w:pPr>
      <w:r>
        <w:rPr/>
        <w:t>1. Нейросонография в норме, с учётом возраста в т.ч. у недоношенных.</w:t>
      </w:r>
    </w:p>
    <w:p>
      <w:pPr>
        <w:pStyle w:val="Normal"/>
        <w:ind w:firstLine="709"/>
        <w:rPr/>
      </w:pPr>
      <w:r>
        <w:rPr/>
        <w:t>2.</w:t>
        <w:tab/>
        <w:t>Нейросонография при патологии:</w:t>
      </w:r>
    </w:p>
    <w:p>
      <w:pPr>
        <w:pStyle w:val="Normal"/>
        <w:ind w:firstLine="709"/>
        <w:rPr/>
      </w:pPr>
      <w:r>
        <w:rPr/>
        <w:t>А) Диагностика пери- интравентрикулярных кровоизлияний.</w:t>
      </w:r>
    </w:p>
    <w:p>
      <w:pPr>
        <w:pStyle w:val="Normal"/>
        <w:ind w:firstLine="709"/>
        <w:rPr/>
      </w:pPr>
      <w:r>
        <w:rPr/>
        <w:t>Б)Гипоксически-ишемические поражения головного мозга (перивентрикулярная лейкомоляциия).</w:t>
      </w:r>
    </w:p>
    <w:p>
      <w:pPr>
        <w:pStyle w:val="Normal"/>
        <w:ind w:firstLine="709"/>
        <w:rPr/>
      </w:pPr>
      <w:r>
        <w:rPr/>
        <w:t>В) Гидроцефалия (наружная, внутренняя)</w:t>
      </w:r>
    </w:p>
    <w:p>
      <w:pPr>
        <w:pStyle w:val="Normal"/>
        <w:ind w:firstLine="709"/>
        <w:rPr/>
      </w:pPr>
      <w:r>
        <w:rPr/>
        <w:t>Г) Порэнцефалия.</w:t>
      </w:r>
    </w:p>
    <w:p>
      <w:pPr>
        <w:pStyle w:val="Normal"/>
        <w:ind w:firstLine="709"/>
        <w:rPr/>
      </w:pPr>
      <w:r>
        <w:rPr/>
        <w:t>Д) УЗД нейроинфекции (менингоэнцефалите, токсоплазмозе, цитомегалии, микоплазменном менингоэнцефалите, листериозе, краснухе)</w:t>
      </w:r>
    </w:p>
    <w:p>
      <w:pPr>
        <w:pStyle w:val="Normal"/>
        <w:ind w:firstLine="709"/>
        <w:rPr/>
      </w:pPr>
      <w:r>
        <w:rPr/>
        <w:t>Е) УЗД аномалий развития головного мозга (врождённая гидроцефалия, голопрозэнцефалия, агенезия мозолистого тела, синдром Арнольда-Киари, киста Денди-Уокера, лисэнцефалия, полимикрогирия.</w:t>
      </w:r>
    </w:p>
    <w:p>
      <w:pPr>
        <w:pStyle w:val="Normal"/>
        <w:ind w:firstLine="709"/>
        <w:rPr/>
      </w:pPr>
      <w:r>
        <w:rPr/>
        <w:t>Ж) Опухоли головного мозга</w:t>
        <w:tab/>
        <w:t>.</w:t>
      </w:r>
    </w:p>
    <w:p>
      <w:pPr>
        <w:pStyle w:val="Normal"/>
        <w:ind w:firstLine="709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  <w:t xml:space="preserve">Задача № 1. </w:t>
      </w:r>
    </w:p>
    <w:p>
      <w:pPr>
        <w:pStyle w:val="Normal"/>
        <w:rPr/>
      </w:pPr>
      <w:r>
        <w:rPr/>
        <w:t>Ребенку 1 мес. НСГ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both"/>
        <w:rPr>
          <w:b/>
          <w:b/>
          <w:color w:val="000000"/>
        </w:rPr>
      </w:pPr>
      <w:r>
        <w:rPr/>
        <w:drawing>
          <wp:inline distT="0" distB="0" distL="0" distR="0">
            <wp:extent cx="4600575" cy="1674495"/>
            <wp:effectExtent l="0" t="0" r="0" b="0"/>
            <wp:docPr id="1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/>
      </w:pPr>
      <w:r>
        <w:rPr/>
        <w:t>Ребенок 10 лет. НСГ.</w:t>
      </w:r>
    </w:p>
    <w:p>
      <w:pPr>
        <w:pStyle w:val="Normal"/>
        <w:rPr/>
      </w:pPr>
      <w:r>
        <w:rPr/>
        <w:drawing>
          <wp:inline distT="0" distB="0" distL="0" distR="0">
            <wp:extent cx="2676525" cy="2009775"/>
            <wp:effectExtent l="0" t="0" r="0" b="0"/>
            <wp:docPr id="2" name="Рисунок 4" descr="D:\Мои документы\УЗД\УЗД интернет\s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D:\Мои документы\УЗД\УЗД интернет\s375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rPr/>
      </w:pPr>
      <w:r>
        <w:rPr/>
        <w:t>Ребенок 5 мес. НСГ.</w:t>
      </w:r>
    </w:p>
    <w:p>
      <w:pPr>
        <w:pStyle w:val="Normal"/>
        <w:rPr/>
      </w:pPr>
      <w:r>
        <w:rPr/>
        <w:drawing>
          <wp:inline distT="0" distB="0" distL="0" distR="0">
            <wp:extent cx="2676525" cy="2009775"/>
            <wp:effectExtent l="0" t="0" r="0" b="0"/>
            <wp:docPr id="3" name="Рисунок 8" descr="D:\Мои документы\УЗД\УЗД интернет\s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 descr="D:\Мои документы\УЗД\УЗД интернет\s3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Новорожденный 3 сутки жизни. В клинике синдром угнетения ЦНС. УЗД головного мозга.</w:t>
      </w:r>
    </w:p>
    <w:p>
      <w:pPr>
        <w:pStyle w:val="Normal"/>
        <w:rPr/>
      </w:pPr>
      <w:r>
        <w:rPr/>
        <w:drawing>
          <wp:inline distT="0" distB="0" distL="0" distR="0">
            <wp:extent cx="3115310" cy="3556000"/>
            <wp:effectExtent l="0" t="0" r="0" b="0"/>
            <wp:docPr id="4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476" t="6123" r="15246" b="1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врача роддома/перинатального центра.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Новорожденный 5 сутки жизни. В клинике кома </w:t>
      </w:r>
      <w:r>
        <w:rPr>
          <w:lang w:val="en-US"/>
        </w:rPr>
        <w:t>I</w:t>
      </w:r>
      <w:r>
        <w:rPr/>
        <w:t>. УЗД головного мозга.</w:t>
      </w:r>
    </w:p>
    <w:p>
      <w:pPr>
        <w:pStyle w:val="Normal"/>
        <w:rPr/>
      </w:pPr>
      <w:r>
        <w:rPr/>
        <w:drawing>
          <wp:inline distT="0" distB="0" distL="0" distR="0">
            <wp:extent cx="3544570" cy="3216910"/>
            <wp:effectExtent l="0" t="0" r="0" b="0"/>
            <wp:docPr id="5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400" t="9814" r="12775" b="1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врача роддома/перинатального центра.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Новорожденный 21 сутки жизни. В клинике признаки пирамидного дефицита. Исследование головного мозга.</w:t>
      </w:r>
    </w:p>
    <w:p>
      <w:pPr>
        <w:pStyle w:val="Normal"/>
        <w:rPr/>
      </w:pPr>
      <w:r>
        <w:rPr/>
        <w:drawing>
          <wp:inline distT="0" distB="0" distL="0" distR="0">
            <wp:extent cx="4944745" cy="2573020"/>
            <wp:effectExtent l="0" t="0" r="0" b="0"/>
            <wp:docPr id="6" name="Picture 3" descr="27-12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27-12!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843" t="5266" r="5906" b="1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врача роддома/перинатального центра.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jc w:val="center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rPr/>
      </w:pPr>
      <w:r>
        <w:rPr/>
        <w:t>Новорожденный 28 сутки жизни. Ребенок рожден по шакале Апгар на 2/3/5 баллов. УЗД головного мозга.</w:t>
      </w:r>
    </w:p>
    <w:p>
      <w:pPr>
        <w:pStyle w:val="Normal"/>
        <w:rPr/>
      </w:pPr>
      <w:r>
        <w:rPr/>
        <w:drawing>
          <wp:inline distT="0" distB="0" distL="0" distR="0">
            <wp:extent cx="3872230" cy="3758565"/>
            <wp:effectExtent l="0" t="0" r="0" b="0"/>
            <wp:docPr id="7" name="Изображение1" descr="27-11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27-11!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893" t="8801" r="13438" b="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врача роддома/перинатального центра.</w:t>
      </w:r>
    </w:p>
    <w:p>
      <w:pPr>
        <w:pStyle w:val="Normal"/>
        <w:rPr/>
      </w:pPr>
      <w:r>
        <w:rPr/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В коронарном сечении при  нейросонографии  на  уровне  отверстий      Монро косой  размер  переднего  рога  у  доношенных  новорожденных не превышает: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3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4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5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6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7 мм.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В коронарном сечении при  нейросонографии  на  уровне  отверстий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     </w:t>
      </w:r>
      <w:r>
        <w:rPr>
          <w:color w:val="000000"/>
        </w:rPr>
        <w:t>Монро и третьего желудочка величина последнего не превышает: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3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4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5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6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7 мм.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В  сагиттальной  плоскости  сканирования  при   нейросонографии поперечный размер большой цистерны  мозга  у  новорожденных  детей      не превышает: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4,5-5,5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5,5-6,5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6,5-7,5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7,5-8,5 мм;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8,5-9,5 мм.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У  недоношенных  новорожденных  субэпендимальные  кровоизлияния      наиболее часто локализуются на уровне: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тел боковых желудочков;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головок хвостатых ядер;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задних рогов боковых желудочков;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сосудистых сплетений боковых желудочков;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нижних рогов боковых желудочков.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У  доношенных  новорожденных  внутрижелудочковые  кровоизлияния      наиболее часто локализуются на уровне: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головок хвостатых ядер;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тел боковых желудочков;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задних рогов боковых желудочков;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нижних рогов боковых желудочков;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сосудистых сплетений боковых желудочков.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У недоношенных новорожденных при нейросонографии      субэпендимальные псевдокисты наиболее часто определяются в области: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переднего рога бокового желудочка, каудоталамической борозды;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тела бокового желудочка;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нижнего рога бокового желудочка;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заднего рога бокового желудочка;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антральной части и заднего рога бокового желудочка.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Свободные тромбы в боковых желудочках при нейросонографии     наиболее часто выявляются в области: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переднего рога бокового желудочка;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тела бокового желудочка;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антральной части и нижнего рога;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переднего рога и тела бокового желудочка;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ни в одной из перечисленных областей.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Герминативный матрикс у недоношенных новорожденных локализуется      преимущественно в области: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тел боковых желудочков;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тел боковых желудочков, в их антральной части;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в субэпендимальных отделах передних рогов, головок хвостатых ядер, каудоталамических борозд;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в субэпендимальных отделах нижних рогов;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в субэпендимальных отделах нижних рогов, сосудистых сплетений.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Постгеморрагическая дилатация боковых желудочков  при  массивных      кровоизлияниях наиболее часто начинается с уровня: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передних рогов;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передних рогов, тел боковых желужочков;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антральной части желудочка, заднего рога;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нижних рогов;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передних и нижних рогов.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Массивная   кальцификация   базальных   ганглиев   при   слабой      выраженности   изменений   в   перивентрикулярной   области   наиболее      характерна для воспалительного процесса, вызванного: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краснухой;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цитомегаловирусной инфекцией;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врожденным токсоплазмозом;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герпетической инфекцией;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листериозом.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Симптом  "звездного  неба"  при  нейросонографии  выявляется  на      уровне: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боковых желудочков;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третьего желудочка;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четвертого желудочка;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боковых и третьего желудочка;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цистерн основания.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Симптом  "звездного  неба"  при  нейросонографии  морфологически      обусловлен: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врожденным характером гидроцефалии;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прогрессирующим характером гидроцефалии;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пристеночными наслоениями в боковых желудочках;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перегородочными структурами в боковых желудочках;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дополнительными включениями в ликворе.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Сочетание атрезии отверстий четвертого желудочка в комбинации  с      агенезией червя, гипоплазией полушарий мозжечка наиболее характерно      для: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синдрома Арнольда-Киари 1 типа;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синдрома Арнольда-Киари 2 типа;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синдрома Арнольда-Киари 3 типа;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синдрома Арнольда-Киари 4 типа;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синдрома Денди-Уокера.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При нейросонографии симптом широкого расположения передних рогов      боковых желужочков в сочетании  с  их  латерализацией  и  параллельным      расположением наиболее характерно для: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а) агенезии мозолистого тела;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б) синдрома Денди-Уокера;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в) синдрома Арнольда-Киари 1 типа;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г) синдрома Арнольда-Киари 2 типа;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д) синдрома Арнольда-Киари 3 типа.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изменения описанных при проведении ультразвукового исследования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исследования при неотложных ситуациях</w:t>
      </w:r>
    </w:p>
    <w:p>
      <w:pPr>
        <w:pStyle w:val="Normal"/>
        <w:ind w:firstLine="709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 SEQ AutoNr \* ARABIC 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2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«Ультразвуковая диагностика заболеваний печени и желчевыводящих путей у детей».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>
      <w:pPr>
        <w:pStyle w:val="Normal"/>
        <w:ind w:firstLine="709"/>
        <w:rPr/>
      </w:pPr>
      <w:r>
        <w:rPr/>
        <w:t>А) Эхокартина при остром гепатите</w:t>
      </w:r>
    </w:p>
    <w:p>
      <w:pPr>
        <w:pStyle w:val="Normal"/>
        <w:ind w:firstLine="709"/>
        <w:rPr/>
      </w:pPr>
      <w:r>
        <w:rPr/>
        <w:t>Б) Эхокартина при хроническом гепатите.</w:t>
      </w:r>
    </w:p>
    <w:p>
      <w:pPr>
        <w:pStyle w:val="Normal"/>
        <w:ind w:firstLine="709"/>
        <w:rPr/>
      </w:pPr>
      <w:r>
        <w:rPr/>
        <w:t>В) Эхокартина при циррозе печени.</w:t>
      </w:r>
    </w:p>
    <w:p>
      <w:pPr>
        <w:pStyle w:val="Normal"/>
        <w:ind w:firstLine="709"/>
        <w:rPr/>
      </w:pPr>
      <w:r>
        <w:rPr/>
        <w:t>Г) Эхокартина при реактивных изменениях печени.</w:t>
      </w:r>
    </w:p>
    <w:p>
      <w:pPr>
        <w:pStyle w:val="Normal"/>
        <w:ind w:firstLine="709"/>
        <w:rPr/>
      </w:pPr>
      <w:r>
        <w:rPr/>
        <w:t>Д) Эхокартина при кардиальном фиброзе печени.</w:t>
      </w:r>
    </w:p>
    <w:p>
      <w:pPr>
        <w:pStyle w:val="Normal"/>
        <w:ind w:firstLine="709"/>
        <w:rPr/>
      </w:pPr>
      <w:r>
        <w:rPr/>
        <w:t>Е) Эхокартина при портальной гипертензии.</w:t>
      </w:r>
    </w:p>
    <w:p>
      <w:pPr>
        <w:pStyle w:val="Normal"/>
        <w:ind w:firstLine="709"/>
        <w:rPr/>
      </w:pPr>
      <w:r>
        <w:rPr/>
        <w:t>Ж) Эхокартина при травме печени (ушиб, гематома)</w:t>
      </w:r>
    </w:p>
    <w:p>
      <w:pPr>
        <w:pStyle w:val="Normal"/>
        <w:ind w:firstLine="709"/>
        <w:rPr/>
      </w:pPr>
      <w:r>
        <w:rPr/>
        <w:t>З) Эхокартина при поликистозе, эхинококкозе печени.</w:t>
      </w:r>
    </w:p>
    <w:p>
      <w:pPr>
        <w:pStyle w:val="Normal"/>
        <w:ind w:firstLine="709"/>
        <w:rPr/>
      </w:pPr>
      <w:r>
        <w:rPr/>
        <w:t>И) Эхокартина при очагово-деструктивных изменениях паренхимы (абсцесс, метастазы, хламидиоз).</w:t>
      </w:r>
    </w:p>
    <w:p>
      <w:pPr>
        <w:pStyle w:val="Normal"/>
        <w:ind w:firstLine="709"/>
        <w:rPr/>
      </w:pPr>
      <w:r>
        <w:rPr/>
        <w:t>К) Эхокартина при остром и хроническом холецистите.</w:t>
      </w:r>
    </w:p>
    <w:p>
      <w:pPr>
        <w:pStyle w:val="Normal"/>
        <w:ind w:firstLine="709"/>
        <w:rPr/>
      </w:pPr>
      <w:r>
        <w:rPr/>
        <w:t>Л) Эхокартина ЖКБ.</w:t>
      </w:r>
    </w:p>
    <w:p>
      <w:pPr>
        <w:pStyle w:val="Normal"/>
        <w:ind w:firstLine="709"/>
        <w:rPr>
          <w:b/>
          <w:b/>
          <w:i/>
          <w:i/>
          <w:color w:val="000000"/>
        </w:rPr>
      </w:pPr>
      <w:r>
        <w:rPr/>
        <w:t>М) Эхокартина аномалии развития ЖП.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  <w:t xml:space="preserve">Задача № 1. </w:t>
      </w:r>
    </w:p>
    <w:p>
      <w:pPr>
        <w:pStyle w:val="Normal"/>
        <w:rPr/>
      </w:pPr>
      <w:r>
        <w:rPr/>
        <w:t>Ребенку 6 месяцев. УЗД печени.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both"/>
        <w:rPr>
          <w:b/>
          <w:b/>
          <w:color w:val="000000"/>
        </w:rPr>
      </w:pPr>
      <w:r>
        <w:rPr/>
        <w:drawing>
          <wp:inline distT="0" distB="0" distL="0" distR="0">
            <wp:extent cx="3542665" cy="4086860"/>
            <wp:effectExtent l="0" t="0" r="0" b="0"/>
            <wp:docPr id="8" name="Рисунок 2" descr="http://www.radiographia.ru/sites/default/files/71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http://www.radiographia.ru/sites/default/files/71%283%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842" t="0" r="0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/>
      </w:pPr>
      <w:r>
        <w:rPr/>
        <w:t>Ребенок 10 лет. УЗД печени.</w:t>
      </w:r>
    </w:p>
    <w:p>
      <w:pPr>
        <w:pStyle w:val="Normal"/>
        <w:rPr/>
      </w:pPr>
      <w:r>
        <w:rPr/>
        <w:drawing>
          <wp:inline distT="0" distB="0" distL="0" distR="0">
            <wp:extent cx="3420110" cy="2652395"/>
            <wp:effectExtent l="0" t="0" r="0" b="0"/>
            <wp:docPr id="9" name="Рисунок 5" descr="http://www.usfd.ru/sites/default/files/images/selezenka-ech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http://www.usfd.ru/sites/default/files/images/selezenka-echo-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27" t="17460" r="27873" b="3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Ребенок 6 лет. УЗД печени.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2273300" cy="1838325"/>
            <wp:effectExtent l="0" t="0" r="0" b="0"/>
            <wp:docPr id="10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05735" cy="1647825"/>
            <wp:effectExtent l="0" t="0" r="0" b="0"/>
            <wp:docPr id="1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1. </w:t>
      </w:r>
    </w:p>
    <w:p>
      <w:pPr>
        <w:pStyle w:val="Normal"/>
        <w:rPr>
          <w:color w:val="000000"/>
        </w:rPr>
      </w:pPr>
      <w:r>
        <w:rPr>
          <w:color w:val="000000"/>
        </w:rPr>
        <w:t>1.  паренхима однородная, эхогенность средняя</w:t>
      </w:r>
    </w:p>
    <w:p>
      <w:pPr>
        <w:pStyle w:val="Normal"/>
        <w:rPr>
          <w:color w:val="000000"/>
        </w:rPr>
      </w:pPr>
      <w:r>
        <w:rPr>
          <w:color w:val="000000"/>
        </w:rPr>
        <w:t>2. эхокартина без видимой патологии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2. </w:t>
      </w:r>
    </w:p>
    <w:p>
      <w:pPr>
        <w:pStyle w:val="Normal"/>
        <w:rPr>
          <w:color w:val="000000"/>
        </w:rPr>
      </w:pPr>
      <w:r>
        <w:rPr>
          <w:color w:val="000000"/>
        </w:rPr>
        <w:t>1.  в паренхиме печени гиперэхогенные образования с аккустической тенью</w:t>
      </w:r>
    </w:p>
    <w:p>
      <w:pPr>
        <w:pStyle w:val="Normal"/>
        <w:rPr>
          <w:color w:val="000000"/>
        </w:rPr>
      </w:pPr>
      <w:r>
        <w:rPr>
          <w:color w:val="000000"/>
        </w:rPr>
        <w:t>Множественные кальцинаты печени</w:t>
      </w:r>
    </w:p>
    <w:p>
      <w:pPr>
        <w:pStyle w:val="Normal"/>
        <w:rPr>
          <w:color w:val="000000"/>
        </w:rPr>
      </w:pPr>
      <w:r>
        <w:rPr>
          <w:color w:val="000000"/>
        </w:rPr>
        <w:t>2. ранее перенесенное специфическое инфекционное заболевание</w:t>
      </w:r>
    </w:p>
    <w:p>
      <w:pPr>
        <w:pStyle w:val="Normal"/>
        <w:rPr>
          <w:color w:val="000000"/>
        </w:rPr>
      </w:pPr>
      <w:r>
        <w:rPr>
          <w:color w:val="000000"/>
        </w:rPr>
        <w:t>3. при необходимости вирусологическое исследование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>
      <w:pPr>
        <w:pStyle w:val="Normal"/>
        <w:rPr>
          <w:color w:val="000000"/>
        </w:rPr>
      </w:pPr>
      <w:r>
        <w:rPr>
          <w:color w:val="000000"/>
        </w:rPr>
        <w:t>Лабильные перегибы и перегородки желчного пузыря при ультразвуковом исследовании являются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вариантом нормы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признаком дискинезии желчного пузыря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признаком холецистита</w:t>
      </w:r>
    </w:p>
    <w:p>
      <w:pPr>
        <w:pStyle w:val="ListParagraph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признаком дисхолии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Небольшое количество рыхлого осадка в желчном пузыре у здоровых детей при ультразвуковом исследовании является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признаком неизмененного желчного пузыря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признаком холецистита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признаком дисхолии</w:t>
      </w:r>
    </w:p>
    <w:p>
      <w:pPr>
        <w:pStyle w:val="ListParagraph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признакои дискинезии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Выявленное при ультразвуковом исследовании утолщение стенки желчного пузыря может быть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любым из перечисленных симптомом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признаком поражения печени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признаком системных поражений</w:t>
      </w:r>
    </w:p>
    <w:p>
      <w:pPr>
        <w:pStyle w:val="ListParagraph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признаком воспалительных изменений желчного пузыря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Выявленное при ультразвуковом исследовании замедление моторной функции желчного пузыря у детей чаще всего связано с</w:t>
      </w:r>
    </w:p>
    <w:p>
      <w:pPr>
        <w:pStyle w:val="ListParagraph"/>
        <w:numPr>
          <w:ilvl w:val="0"/>
          <w:numId w:val="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патологией желудка и двенадцатиперстной кишки</w:t>
      </w:r>
    </w:p>
    <w:p>
      <w:pPr>
        <w:pStyle w:val="ListParagraph"/>
        <w:numPr>
          <w:ilvl w:val="0"/>
          <w:numId w:val="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патологией печени</w:t>
      </w:r>
    </w:p>
    <w:p>
      <w:pPr>
        <w:pStyle w:val="ListParagraph"/>
        <w:numPr>
          <w:ilvl w:val="0"/>
          <w:numId w:val="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патологией протоковой системы</w:t>
        <w:tab/>
        <w:t>патологией</w:t>
      </w:r>
    </w:p>
    <w:p>
      <w:pPr>
        <w:pStyle w:val="ListParagraph"/>
        <w:numPr>
          <w:ilvl w:val="0"/>
          <w:numId w:val="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желчного пузыря</w:t>
      </w:r>
    </w:p>
    <w:p>
      <w:pPr>
        <w:pStyle w:val="Normal"/>
        <w:ind w:firstLine="709"/>
        <w:jc w:val="both"/>
        <w:rPr/>
      </w:pPr>
      <w:r>
        <w:rPr/>
      </w:r>
    </w:p>
    <w:p>
      <w:pPr>
        <w:pStyle w:val="Normal"/>
        <w:ind w:firstLine="709"/>
        <w:jc w:val="both"/>
        <w:rPr/>
      </w:pPr>
      <w:r>
        <w:rPr/>
        <w:t>Внутрипузырные мембраны (перегородки) являются результатом</w:t>
        <w:tab/>
      </w:r>
    </w:p>
    <w:p>
      <w:pPr>
        <w:pStyle w:val="Normal"/>
        <w:ind w:firstLine="709"/>
        <w:jc w:val="both"/>
        <w:rPr/>
      </w:pPr>
      <w:r>
        <w:rPr/>
        <w:t>1. Нарушения в эмбриогенезе</w:t>
      </w:r>
    </w:p>
    <w:p>
      <w:pPr>
        <w:pStyle w:val="Normal"/>
        <w:ind w:firstLine="709"/>
        <w:jc w:val="both"/>
        <w:rPr/>
      </w:pPr>
      <w:r>
        <w:rPr/>
        <w:t>2. холецистита</w:t>
      </w:r>
    </w:p>
    <w:p>
      <w:pPr>
        <w:pStyle w:val="Normal"/>
        <w:ind w:firstLine="709"/>
        <w:jc w:val="both"/>
        <w:rPr/>
      </w:pPr>
      <w:r>
        <w:rPr/>
        <w:t>3. перенесенного гепатита</w:t>
      </w:r>
    </w:p>
    <w:p>
      <w:pPr>
        <w:pStyle w:val="Normal"/>
        <w:ind w:firstLine="709"/>
        <w:jc w:val="both"/>
        <w:rPr/>
      </w:pPr>
      <w:r>
        <w:rPr/>
        <w:t>4. дисхолии</w:t>
      </w:r>
    </w:p>
    <w:p>
      <w:pPr>
        <w:pStyle w:val="Normal"/>
        <w:ind w:firstLine="709"/>
        <w:jc w:val="both"/>
        <w:rPr/>
      </w:pPr>
      <w:r>
        <w:rPr/>
      </w:r>
    </w:p>
    <w:p>
      <w:pPr>
        <w:pStyle w:val="Normal"/>
        <w:ind w:firstLine="709"/>
        <w:jc w:val="both"/>
        <w:rPr/>
      </w:pPr>
      <w:r>
        <w:rPr/>
        <w:t>При ультразвуковом исследовании гепатодуоденальной зоны у детей в норме можно визуализировать</w:t>
      </w:r>
    </w:p>
    <w:p>
      <w:pPr>
        <w:pStyle w:val="Normal"/>
        <w:ind w:firstLine="709"/>
        <w:jc w:val="both"/>
        <w:rPr/>
      </w:pPr>
      <w:r>
        <w:rPr/>
        <w:t>1.</w:t>
        <w:tab/>
        <w:t>желчный пузырь, общий желчный проток, общий печеночный проток</w:t>
      </w:r>
    </w:p>
    <w:p>
      <w:pPr>
        <w:pStyle w:val="Normal"/>
        <w:ind w:firstLine="709"/>
        <w:jc w:val="both"/>
        <w:rPr/>
      </w:pPr>
      <w:r>
        <w:rPr/>
        <w:t>2.</w:t>
        <w:tab/>
        <w:t>только желчный пузырь</w:t>
      </w:r>
    </w:p>
    <w:p>
      <w:pPr>
        <w:pStyle w:val="Normal"/>
        <w:ind w:firstLine="709"/>
        <w:jc w:val="both"/>
        <w:rPr/>
      </w:pPr>
      <w:r>
        <w:rPr/>
        <w:t>3.</w:t>
        <w:tab/>
        <w:t>желчный пузырь, общий желчный пузырь</w:t>
      </w:r>
    </w:p>
    <w:p>
      <w:pPr>
        <w:pStyle w:val="Normal"/>
        <w:ind w:firstLine="709"/>
        <w:jc w:val="both"/>
        <w:rPr/>
      </w:pPr>
      <w:r>
        <w:rPr/>
        <w:t>4.</w:t>
        <w:tab/>
        <w:t>только общий печеночный проток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Инсулинозависимый диабет у детей при ультразвуковом исследовании может проявляться</w:t>
      </w:r>
    </w:p>
    <w:p>
      <w:pPr>
        <w:pStyle w:val="ListParagraph"/>
        <w:numPr>
          <w:ilvl w:val="0"/>
          <w:numId w:val="1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жировой инфильтрацией печени</w:t>
      </w:r>
    </w:p>
    <w:p>
      <w:pPr>
        <w:pStyle w:val="ListParagraph"/>
        <w:numPr>
          <w:ilvl w:val="0"/>
          <w:numId w:val="1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циррозом печени</w:t>
      </w:r>
    </w:p>
    <w:p>
      <w:pPr>
        <w:pStyle w:val="ListParagraph"/>
        <w:numPr>
          <w:ilvl w:val="0"/>
          <w:numId w:val="1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очаговыми изменениями печени</w:t>
      </w:r>
    </w:p>
    <w:p>
      <w:pPr>
        <w:pStyle w:val="ListParagraph"/>
        <w:numPr>
          <w:ilvl w:val="0"/>
          <w:numId w:val="1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печень никогда не меняется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У детей при портальной гипертензии определенная последовательность развития ультразвуковых симптомов</w:t>
      </w:r>
    </w:p>
    <w:p>
      <w:pPr>
        <w:pStyle w:val="ListParagraph"/>
        <w:numPr>
          <w:ilvl w:val="0"/>
          <w:numId w:val="1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нет</w:t>
      </w:r>
    </w:p>
    <w:p>
      <w:pPr>
        <w:pStyle w:val="ListParagraph"/>
        <w:numPr>
          <w:ilvl w:val="0"/>
          <w:numId w:val="1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характерна</w:t>
      </w:r>
    </w:p>
    <w:p>
      <w:pPr>
        <w:pStyle w:val="ListParagraph"/>
        <w:numPr>
          <w:ilvl w:val="0"/>
          <w:numId w:val="1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характерна своя последовательность для каждой формы портальной гипертензии</w:t>
      </w:r>
    </w:p>
    <w:p>
      <w:pPr>
        <w:pStyle w:val="ListParagraph"/>
        <w:numPr>
          <w:ilvl w:val="0"/>
          <w:numId w:val="1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существует только для тромбоза воротной вены</w:t>
      </w:r>
    </w:p>
    <w:p>
      <w:pPr>
        <w:pStyle w:val="Style19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9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Какая подготовка для проведения УЗИ (печени, желчного пузыря, поджелудочной железы, селезенки) детям с метеоризмом рекомендуется:</w:t>
      </w:r>
    </w:p>
    <w:p>
      <w:pPr>
        <w:pStyle w:val="Normal"/>
        <w:numPr>
          <w:ilvl w:val="0"/>
          <w:numId w:val="13"/>
        </w:numPr>
        <w:rPr/>
      </w:pPr>
      <w:r>
        <w:rPr/>
        <w:t xml:space="preserve">исключить продукты содержащие углеводы                </w:t>
      </w:r>
    </w:p>
    <w:p>
      <w:pPr>
        <w:pStyle w:val="Normal"/>
        <w:numPr>
          <w:ilvl w:val="0"/>
          <w:numId w:val="13"/>
        </w:numPr>
        <w:rPr/>
      </w:pPr>
      <w:r>
        <w:rPr/>
        <w:t>исключить белковую пищу</w:t>
      </w:r>
    </w:p>
    <w:p>
      <w:pPr>
        <w:pStyle w:val="Normal"/>
        <w:numPr>
          <w:ilvl w:val="0"/>
          <w:numId w:val="13"/>
        </w:numPr>
        <w:rPr/>
      </w:pPr>
      <w:r>
        <w:rPr/>
        <w:t>исключить продукты, содержащие грубую клетчатку</w:t>
      </w:r>
    </w:p>
    <w:p>
      <w:pPr>
        <w:pStyle w:val="Normal"/>
        <w:numPr>
          <w:ilvl w:val="0"/>
          <w:numId w:val="13"/>
        </w:numPr>
        <w:rPr/>
      </w:pPr>
      <w:r>
        <w:rPr/>
        <w:t>назначение активированного угля или его заменителей</w:t>
      </w:r>
    </w:p>
    <w:p>
      <w:pPr>
        <w:pStyle w:val="Normal"/>
        <w:numPr>
          <w:ilvl w:val="0"/>
          <w:numId w:val="13"/>
        </w:numPr>
        <w:rPr/>
      </w:pPr>
      <w:r>
        <w:rPr/>
        <w:t>назначение ферментов (панзинорм, мезимфорте, фестал и т.п.)</w:t>
      </w:r>
    </w:p>
    <w:p>
      <w:pPr>
        <w:pStyle w:val="Normal"/>
        <w:numPr>
          <w:ilvl w:val="0"/>
          <w:numId w:val="13"/>
        </w:numPr>
        <w:rPr/>
      </w:pPr>
      <w:r>
        <w:rPr/>
        <w:t>назначение клизмы</w:t>
      </w:r>
    </w:p>
    <w:p>
      <w:pPr>
        <w:pStyle w:val="Normal"/>
        <w:rPr/>
      </w:pPr>
      <w:r>
        <w:rPr/>
        <w:t xml:space="preserve">        </w:t>
      </w:r>
    </w:p>
    <w:p>
      <w:pPr>
        <w:pStyle w:val="Style19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УЗИ печени, желчного пузыря, поджелудочной железы, селезенки должно проводиться:</w:t>
      </w:r>
    </w:p>
    <w:p>
      <w:pPr>
        <w:pStyle w:val="Normal"/>
        <w:numPr>
          <w:ilvl w:val="0"/>
          <w:numId w:val="14"/>
        </w:numPr>
        <w:rPr/>
      </w:pPr>
      <w:r>
        <w:rPr/>
        <w:t>сразу после приема пищи</w:t>
      </w:r>
    </w:p>
    <w:p>
      <w:pPr>
        <w:pStyle w:val="Normal"/>
        <w:numPr>
          <w:ilvl w:val="0"/>
          <w:numId w:val="14"/>
        </w:numPr>
        <w:rPr/>
      </w:pPr>
      <w:r>
        <w:rPr/>
        <w:t>натощак, голод 6-8 часов</w:t>
      </w:r>
    </w:p>
    <w:p>
      <w:pPr>
        <w:pStyle w:val="Normal"/>
        <w:numPr>
          <w:ilvl w:val="0"/>
          <w:numId w:val="14"/>
        </w:numPr>
        <w:rPr/>
      </w:pPr>
      <w:r>
        <w:rPr/>
        <w:t xml:space="preserve">натощак, голод более 14 часов                                       </w:t>
      </w:r>
    </w:p>
    <w:p>
      <w:pPr>
        <w:pStyle w:val="Normal"/>
        <w:numPr>
          <w:ilvl w:val="0"/>
          <w:numId w:val="14"/>
        </w:numPr>
        <w:rPr/>
      </w:pPr>
      <w:r>
        <w:rPr/>
        <w:t>не зависимо от приема пищи</w:t>
      </w:r>
    </w:p>
    <w:p>
      <w:pPr>
        <w:pStyle w:val="Normal"/>
        <w:rPr/>
      </w:pPr>
      <w:r>
        <w:rPr/>
      </w:r>
    </w:p>
    <w:p>
      <w:pPr>
        <w:pStyle w:val="BodyTextIndent2"/>
        <w:spacing w:lineRule="auto" w:line="240"/>
        <w:rPr>
          <w:sz w:val="24"/>
          <w:szCs w:val="24"/>
        </w:rPr>
      </w:pPr>
      <w:r>
        <w:rPr>
          <w:sz w:val="24"/>
          <w:szCs w:val="24"/>
        </w:rPr>
        <w:t>Если ребенку в один день назначили УЗИ (печени, желчного пузыря, поджелудочной железы, селезенки) и ЭГДС, в какой последовательности необходимо проводить эти исследования:</w:t>
      </w:r>
    </w:p>
    <w:p>
      <w:pPr>
        <w:pStyle w:val="Normal"/>
        <w:numPr>
          <w:ilvl w:val="0"/>
          <w:numId w:val="15"/>
        </w:numPr>
        <w:rPr/>
      </w:pPr>
      <w:r>
        <w:rPr/>
        <w:t xml:space="preserve">УЗИ, затем ЭГДС                                                  </w:t>
      </w:r>
    </w:p>
    <w:p>
      <w:pPr>
        <w:pStyle w:val="Normal"/>
        <w:numPr>
          <w:ilvl w:val="0"/>
          <w:numId w:val="15"/>
        </w:numPr>
        <w:rPr/>
      </w:pPr>
      <w:r>
        <w:rPr/>
        <w:t>ЭГДС, затем УЗИ</w:t>
      </w:r>
    </w:p>
    <w:p>
      <w:pPr>
        <w:pStyle w:val="Normal"/>
        <w:numPr>
          <w:ilvl w:val="0"/>
          <w:numId w:val="15"/>
        </w:numPr>
        <w:rPr/>
      </w:pPr>
      <w:r>
        <w:rPr/>
        <w:t>Не имеет значения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Если ребенку одновременно назначили </w:t>
      </w:r>
      <w:r>
        <w:rPr>
          <w:lang w:val="en-US"/>
        </w:rPr>
        <w:t>Rg</w:t>
      </w:r>
      <w:r>
        <w:rPr/>
        <w:t xml:space="preserve"> исследование, УЗИ внутренних органов и ЭХОКС, как эти исследования лучше проводить:</w:t>
      </w:r>
    </w:p>
    <w:p>
      <w:pPr>
        <w:pStyle w:val="Normal"/>
        <w:numPr>
          <w:ilvl w:val="0"/>
          <w:numId w:val="16"/>
        </w:numPr>
        <w:rPr/>
      </w:pPr>
      <w:r>
        <w:rPr/>
        <w:t>В один день</w:t>
      </w:r>
    </w:p>
    <w:p>
      <w:pPr>
        <w:pStyle w:val="Normal"/>
        <w:numPr>
          <w:ilvl w:val="0"/>
          <w:numId w:val="16"/>
        </w:numPr>
        <w:rPr/>
      </w:pPr>
      <w:r>
        <w:rPr/>
        <w:t xml:space="preserve">Расписать по дням                                                </w:t>
      </w:r>
    </w:p>
    <w:p>
      <w:pPr>
        <w:pStyle w:val="Normal"/>
        <w:numPr>
          <w:ilvl w:val="0"/>
          <w:numId w:val="16"/>
        </w:numPr>
        <w:rPr/>
      </w:pPr>
      <w:r>
        <w:rPr/>
        <w:t>Не имеет значения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УЗИ внутренних органов после </w:t>
      </w:r>
      <w:r>
        <w:rPr>
          <w:lang w:val="en-US"/>
        </w:rPr>
        <w:t>Rg</w:t>
      </w:r>
      <w:r>
        <w:rPr/>
        <w:t xml:space="preserve"> исследования с контрастным веществом можно проводить:</w:t>
      </w:r>
    </w:p>
    <w:p>
      <w:pPr>
        <w:pStyle w:val="Normal"/>
        <w:numPr>
          <w:ilvl w:val="0"/>
          <w:numId w:val="17"/>
        </w:numPr>
        <w:rPr/>
      </w:pPr>
      <w:r>
        <w:rPr/>
        <w:t>Сразу после него</w:t>
      </w:r>
    </w:p>
    <w:p>
      <w:pPr>
        <w:pStyle w:val="Normal"/>
        <w:numPr>
          <w:ilvl w:val="0"/>
          <w:numId w:val="17"/>
        </w:numPr>
        <w:rPr/>
      </w:pPr>
      <w:r>
        <w:rPr/>
        <w:t>Не менее, чем через 6 часов</w:t>
      </w:r>
    </w:p>
    <w:p>
      <w:pPr>
        <w:pStyle w:val="Normal"/>
        <w:numPr>
          <w:ilvl w:val="0"/>
          <w:numId w:val="17"/>
        </w:numPr>
        <w:rPr/>
      </w:pPr>
      <w:r>
        <w:rPr/>
        <w:t xml:space="preserve">Не менее, чем через сутки                                                           </w:t>
      </w:r>
    </w:p>
    <w:p>
      <w:pPr>
        <w:pStyle w:val="Normal"/>
        <w:numPr>
          <w:ilvl w:val="0"/>
          <w:numId w:val="17"/>
        </w:numPr>
        <w:rPr/>
      </w:pPr>
      <w:r>
        <w:rPr/>
        <w:t>Не имеет значения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При нарушениях ритма сердца необходимо назначить УЗИ:</w:t>
      </w:r>
    </w:p>
    <w:p>
      <w:pPr>
        <w:pStyle w:val="Normal"/>
        <w:numPr>
          <w:ilvl w:val="0"/>
          <w:numId w:val="12"/>
        </w:numPr>
        <w:rPr/>
      </w:pPr>
      <w:r>
        <w:rPr/>
        <w:t xml:space="preserve">Печени и желчного пузыря                                                          </w:t>
      </w:r>
    </w:p>
    <w:p>
      <w:pPr>
        <w:pStyle w:val="Normal"/>
        <w:numPr>
          <w:ilvl w:val="0"/>
          <w:numId w:val="12"/>
        </w:numPr>
        <w:rPr/>
      </w:pPr>
      <w:r>
        <w:rPr/>
        <w:t>Поджелудочной железы</w:t>
      </w:r>
    </w:p>
    <w:p>
      <w:pPr>
        <w:pStyle w:val="Normal"/>
        <w:numPr>
          <w:ilvl w:val="0"/>
          <w:numId w:val="12"/>
        </w:numPr>
        <w:rPr/>
      </w:pPr>
      <w:r>
        <w:rPr/>
        <w:t>Селезенки</w:t>
      </w:r>
    </w:p>
    <w:p>
      <w:pPr>
        <w:pStyle w:val="Normal"/>
        <w:numPr>
          <w:ilvl w:val="0"/>
          <w:numId w:val="12"/>
        </w:numPr>
        <w:rPr/>
      </w:pPr>
      <w:r>
        <w:rPr/>
        <w:t>Почек</w:t>
      </w:r>
    </w:p>
    <w:p>
      <w:pPr>
        <w:pStyle w:val="Normal"/>
        <w:numPr>
          <w:ilvl w:val="0"/>
          <w:numId w:val="12"/>
        </w:numPr>
        <w:rPr/>
      </w:pPr>
      <w:r>
        <w:rPr/>
        <w:t>Щитовидной железы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</w:t>
      </w:r>
      <w:r>
        <w:rPr/>
        <w:t>Назвать какие доли различают в печени (1, 2,3, 4)?</w:t>
      </w:r>
    </w:p>
    <w:p>
      <w:pPr>
        <w:pStyle w:val="Normal"/>
        <w:numPr>
          <w:ilvl w:val="0"/>
          <w:numId w:val="18"/>
        </w:numPr>
        <w:rPr/>
      </w:pPr>
      <w:r>
        <w:rPr/>
        <w:t>Правая</w:t>
      </w:r>
    </w:p>
    <w:p>
      <w:pPr>
        <w:pStyle w:val="Normal"/>
        <w:numPr>
          <w:ilvl w:val="0"/>
          <w:numId w:val="18"/>
        </w:numPr>
        <w:rPr/>
      </w:pPr>
      <w:r>
        <w:rPr/>
        <w:t>Левая</w:t>
      </w:r>
    </w:p>
    <w:p>
      <w:pPr>
        <w:pStyle w:val="Normal"/>
        <w:numPr>
          <w:ilvl w:val="0"/>
          <w:numId w:val="18"/>
        </w:numPr>
        <w:rPr/>
      </w:pPr>
      <w:r>
        <w:rPr/>
        <w:t>Квадратная</w:t>
      </w:r>
    </w:p>
    <w:p>
      <w:pPr>
        <w:pStyle w:val="Normal"/>
        <w:numPr>
          <w:ilvl w:val="0"/>
          <w:numId w:val="18"/>
        </w:numPr>
        <w:rPr/>
      </w:pPr>
      <w:r>
        <w:rPr/>
        <w:t>Хвостатая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При УЗИ размеры печени на ранних стадиях цирроза чаще:</w:t>
      </w:r>
    </w:p>
    <w:p>
      <w:pPr>
        <w:pStyle w:val="Normal"/>
        <w:numPr>
          <w:ilvl w:val="0"/>
          <w:numId w:val="19"/>
        </w:numPr>
        <w:rPr/>
      </w:pPr>
      <w:r>
        <w:rPr/>
        <w:t>В пределах нормы</w:t>
      </w:r>
    </w:p>
    <w:p>
      <w:pPr>
        <w:pStyle w:val="Normal"/>
        <w:numPr>
          <w:ilvl w:val="0"/>
          <w:numId w:val="19"/>
        </w:numPr>
        <w:rPr/>
      </w:pPr>
      <w:r>
        <w:rPr/>
        <w:t>Уменьшены</w:t>
      </w:r>
    </w:p>
    <w:p>
      <w:pPr>
        <w:pStyle w:val="Normal"/>
        <w:numPr>
          <w:ilvl w:val="0"/>
          <w:numId w:val="19"/>
        </w:numPr>
        <w:rPr/>
      </w:pPr>
      <w:r>
        <w:rPr/>
        <w:t>Значительно уменьшены</w:t>
      </w:r>
    </w:p>
    <w:p>
      <w:pPr>
        <w:pStyle w:val="Normal"/>
        <w:numPr>
          <w:ilvl w:val="0"/>
          <w:numId w:val="19"/>
        </w:numPr>
        <w:rPr/>
      </w:pPr>
      <w:r>
        <w:rPr/>
        <w:t xml:space="preserve">Увеличены                                                                 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При УЗИ размеры печени в терминальную стадию цирроза чаще:</w:t>
      </w:r>
    </w:p>
    <w:p>
      <w:pPr>
        <w:pStyle w:val="Normal"/>
        <w:numPr>
          <w:ilvl w:val="0"/>
          <w:numId w:val="20"/>
        </w:numPr>
        <w:rPr/>
      </w:pPr>
      <w:r>
        <w:rPr/>
        <w:t>В пределах нормы</w:t>
      </w:r>
    </w:p>
    <w:p>
      <w:pPr>
        <w:pStyle w:val="Normal"/>
        <w:numPr>
          <w:ilvl w:val="0"/>
          <w:numId w:val="20"/>
        </w:numPr>
        <w:rPr/>
      </w:pPr>
      <w:r>
        <w:rPr/>
        <w:t xml:space="preserve">Увеличение за счет правой доли                                    </w:t>
      </w:r>
    </w:p>
    <w:p>
      <w:pPr>
        <w:pStyle w:val="Normal"/>
        <w:numPr>
          <w:ilvl w:val="0"/>
          <w:numId w:val="20"/>
        </w:numPr>
        <w:rPr/>
      </w:pPr>
      <w:r>
        <w:rPr/>
        <w:t>Уменьшение за счет правой доли</w:t>
      </w:r>
    </w:p>
    <w:p>
      <w:pPr>
        <w:pStyle w:val="Normal"/>
        <w:numPr>
          <w:ilvl w:val="0"/>
          <w:numId w:val="20"/>
        </w:numPr>
        <w:rPr/>
      </w:pPr>
      <w:r>
        <w:rPr/>
        <w:t>Уменьшение за счет левой доли</w:t>
      </w:r>
    </w:p>
    <w:p>
      <w:pPr>
        <w:pStyle w:val="Normal"/>
        <w:numPr>
          <w:ilvl w:val="0"/>
          <w:numId w:val="20"/>
        </w:numPr>
        <w:rPr/>
      </w:pPr>
      <w:r>
        <w:rPr/>
        <w:t>Значительно увеличен объем всего органа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Поликистоз печени чаще сочетается с поликистозом:</w:t>
      </w:r>
    </w:p>
    <w:p>
      <w:pPr>
        <w:pStyle w:val="Normal"/>
        <w:numPr>
          <w:ilvl w:val="0"/>
          <w:numId w:val="21"/>
        </w:numPr>
        <w:rPr/>
      </w:pPr>
      <w:r>
        <w:rPr/>
        <w:t xml:space="preserve">Почек                                                         </w:t>
      </w:r>
    </w:p>
    <w:p>
      <w:pPr>
        <w:pStyle w:val="Normal"/>
        <w:numPr>
          <w:ilvl w:val="0"/>
          <w:numId w:val="21"/>
        </w:numPr>
        <w:rPr/>
      </w:pPr>
      <w:r>
        <w:rPr/>
        <w:t>Поджелудочной железы</w:t>
      </w:r>
    </w:p>
    <w:p>
      <w:pPr>
        <w:pStyle w:val="Normal"/>
        <w:numPr>
          <w:ilvl w:val="0"/>
          <w:numId w:val="21"/>
        </w:numPr>
        <w:rPr/>
      </w:pPr>
      <w:r>
        <w:rPr/>
        <w:t>Селезенки</w:t>
      </w:r>
    </w:p>
    <w:p>
      <w:pPr>
        <w:pStyle w:val="Normal"/>
        <w:numPr>
          <w:ilvl w:val="0"/>
          <w:numId w:val="21"/>
        </w:numPr>
        <w:rPr/>
      </w:pPr>
      <w:r>
        <w:rPr/>
        <w:t>Яичников</w:t>
      </w:r>
    </w:p>
    <w:p>
      <w:pPr>
        <w:pStyle w:val="Normal"/>
        <w:numPr>
          <w:ilvl w:val="0"/>
          <w:numId w:val="21"/>
        </w:numPr>
        <w:rPr/>
      </w:pPr>
      <w:r>
        <w:rPr/>
        <w:t>Верно 1 и 2</w:t>
      </w:r>
    </w:p>
    <w:p>
      <w:pPr>
        <w:pStyle w:val="Normal"/>
        <w:numPr>
          <w:ilvl w:val="0"/>
          <w:numId w:val="21"/>
        </w:numPr>
        <w:rPr/>
      </w:pPr>
      <w:r>
        <w:rPr/>
        <w:t>Верно 1 и 4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изменения описанных при проведении ультразвукового исследования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исследования при неотложных ситуациях</w:t>
      </w:r>
    </w:p>
    <w:p>
      <w:pPr>
        <w:pStyle w:val="ListParagraph"/>
        <w:ind w:left="1069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 SEQ AutoNr \* ARABIC 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3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 xml:space="preserve">«Ультразвуковая диагностика заболеваний </w:t>
      </w:r>
      <w:r>
        <w:rPr>
          <w:rFonts w:eastAsia="Times New Roman" w:cs="Times New Roman"/>
          <w:b/>
          <w:color w:val="auto"/>
          <w:kern w:val="0"/>
          <w:sz w:val="24"/>
          <w:szCs w:val="24"/>
          <w:lang w:val="ru-RU" w:eastAsia="ru-RU" w:bidi="ar-SA"/>
        </w:rPr>
        <w:t>поджелудочной железы</w:t>
      </w:r>
      <w:r>
        <w:rPr>
          <w:b/>
        </w:rPr>
        <w:t xml:space="preserve"> у детей».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>
      <w:pPr>
        <w:pStyle w:val="Normal"/>
        <w:ind w:firstLine="709"/>
        <w:rPr/>
      </w:pPr>
      <w:r>
        <w:rPr/>
        <w:t>1.Эхокартина поджелудочной железы в норме, структуры паренхимы, капсулы, Вирсунгова протока, сосудов железы, размеров с учётом возраста.</w:t>
      </w:r>
    </w:p>
    <w:p>
      <w:pPr>
        <w:pStyle w:val="Normal"/>
        <w:ind w:firstLine="709"/>
        <w:rPr/>
      </w:pPr>
      <w:r>
        <w:rPr/>
        <w:t>2.Частная эхография. Эхокартина поджелудочной железы при:</w:t>
      </w:r>
    </w:p>
    <w:p>
      <w:pPr>
        <w:pStyle w:val="Normal"/>
        <w:ind w:firstLine="709"/>
        <w:rPr/>
      </w:pPr>
      <w:r>
        <w:rPr/>
        <w:t>А) остром панкреатите</w:t>
      </w:r>
    </w:p>
    <w:p>
      <w:pPr>
        <w:pStyle w:val="Normal"/>
        <w:ind w:firstLine="709"/>
        <w:rPr/>
      </w:pPr>
      <w:r>
        <w:rPr/>
        <w:t>Б) хроническом панкреатите</w:t>
      </w:r>
    </w:p>
    <w:p>
      <w:pPr>
        <w:pStyle w:val="Normal"/>
        <w:ind w:firstLine="709"/>
        <w:rPr/>
      </w:pPr>
      <w:r>
        <w:rPr/>
        <w:t xml:space="preserve">В) реактивных изменениях </w:t>
      </w:r>
    </w:p>
    <w:p>
      <w:pPr>
        <w:pStyle w:val="Normal"/>
        <w:ind w:firstLine="709"/>
        <w:rPr/>
      </w:pPr>
      <w:r>
        <w:rPr/>
        <w:t>Г) осложнениях хронического панкреатита</w:t>
      </w:r>
    </w:p>
    <w:p>
      <w:pPr>
        <w:pStyle w:val="Normal"/>
        <w:ind w:firstLine="709"/>
        <w:rPr/>
      </w:pPr>
      <w:r>
        <w:rPr/>
        <w:t>Д) аллергических состояниях</w:t>
      </w:r>
    </w:p>
    <w:p>
      <w:pPr>
        <w:pStyle w:val="Normal"/>
        <w:ind w:firstLine="709"/>
        <w:rPr/>
      </w:pPr>
      <w:r>
        <w:rPr/>
        <w:t>Е) кетоацидозе</w:t>
      </w:r>
    </w:p>
    <w:p>
      <w:pPr>
        <w:pStyle w:val="Normal"/>
        <w:ind w:firstLine="709"/>
        <w:rPr/>
      </w:pPr>
      <w:r>
        <w:rPr/>
        <w:t>Ж) сахарном диабете</w:t>
      </w:r>
    </w:p>
    <w:p>
      <w:pPr>
        <w:pStyle w:val="Normal"/>
        <w:ind w:firstLine="709"/>
        <w:rPr/>
      </w:pPr>
      <w:r>
        <w:rPr/>
        <w:t>З) муковисцидозе.</w:t>
      </w:r>
    </w:p>
    <w:p>
      <w:pPr>
        <w:pStyle w:val="Normal"/>
        <w:ind w:firstLine="709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  <w:t xml:space="preserve">Задача № 1. </w:t>
      </w:r>
    </w:p>
    <w:p>
      <w:pPr>
        <w:pStyle w:val="Normal"/>
        <w:rPr/>
      </w:pPr>
      <w:r>
        <w:rPr/>
        <w:t>Ребенку 5 лет. УЗД поджелудочной железы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both"/>
        <w:rPr>
          <w:b/>
          <w:b/>
          <w:color w:val="000000"/>
        </w:rPr>
      </w:pPr>
      <w:r>
        <w:rPr/>
        <w:drawing>
          <wp:inline distT="0" distB="0" distL="0" distR="0">
            <wp:extent cx="2625725" cy="1971675"/>
            <wp:effectExtent l="0" t="0" r="0" b="0"/>
            <wp:docPr id="12" name="Рисунок 6" descr="D:\Мои документы\УЗД\УЗД интернет\s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" descr="D:\Мои документы\УЗД\УЗД интернет\s3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/>
      </w:pPr>
      <w:r>
        <w:rPr/>
        <w:t>Ребенок 10 лет. УЗД поджелудочной железы.</w:t>
      </w:r>
    </w:p>
    <w:p>
      <w:pPr>
        <w:pStyle w:val="Normal"/>
        <w:rPr/>
      </w:pPr>
      <w:r>
        <w:rPr/>
        <w:drawing>
          <wp:inline distT="0" distB="0" distL="0" distR="0">
            <wp:extent cx="5429885" cy="1847215"/>
            <wp:effectExtent l="0" t="0" r="0" b="0"/>
            <wp:docPr id="1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1183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1. </w:t>
      </w:r>
    </w:p>
    <w:p>
      <w:pPr>
        <w:pStyle w:val="Normal"/>
        <w:rPr>
          <w:color w:val="000000"/>
        </w:rPr>
      </w:pPr>
      <w:r>
        <w:rPr>
          <w:color w:val="000000"/>
        </w:rPr>
        <w:t>1.  паренхима однородная, эхогенность средняя</w:t>
      </w:r>
    </w:p>
    <w:p>
      <w:pPr>
        <w:pStyle w:val="Normal"/>
        <w:rPr>
          <w:color w:val="000000"/>
        </w:rPr>
      </w:pPr>
      <w:r>
        <w:rPr>
          <w:color w:val="000000"/>
        </w:rPr>
        <w:t>2. эхокартина без видимой патологии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2. </w:t>
      </w:r>
    </w:p>
    <w:p>
      <w:pPr>
        <w:pStyle w:val="Normal"/>
        <w:rPr>
          <w:color w:val="000000"/>
        </w:rPr>
      </w:pPr>
      <w:r>
        <w:rPr>
          <w:color w:val="000000"/>
        </w:rPr>
        <w:t>1.  паренхима повышенной эхогенности</w:t>
      </w:r>
    </w:p>
    <w:p>
      <w:pPr>
        <w:pStyle w:val="Normal"/>
        <w:rPr>
          <w:color w:val="000000"/>
        </w:rPr>
      </w:pPr>
      <w:r>
        <w:rPr>
          <w:color w:val="000000"/>
        </w:rPr>
        <w:t>2. диффузные изменения паренхимы поджелудочной железы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Какая подготовка для проведения УЗИ (печени, желчного пузыря, поджелудочной железы, селезенки) детям с метеоризмом рекомендуется: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 xml:space="preserve">исключить продукты содержащие углеводы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исключить белковую пищу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исключить продукты, содержащие грубую клетчатку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назначение активированного угля или его заменителей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5.</w:t>
        <w:tab/>
        <w:t>назначение ферментов (панзинорм, мезимфорте, фестал и т.п.)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7.</w:t>
        <w:tab/>
        <w:t>назначение клизмы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УЗИ печени, желчного пузыря, поджелудочной железы, селезенки должно проводиться: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сразу после приема пищи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натощак, голод 6-8 часов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 xml:space="preserve">натощак, голод более 14 часов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не зависимо от приема пищи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Если ребенку в один день назначили УЗИ (печени, желчного пузыря, поджелудочной железы, селезенки) и ЭГДС, в какой последовательности необходимо проводить эти исследования: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 xml:space="preserve">УЗИ, затем ЭГДС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ЭГДС, затем УЗИ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Не имеет значения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Если ребенку одновременно назначили Rg исследование, УЗИ внутренних органов и ЭХОКС, как эти исследования лучше проводить: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В один день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 xml:space="preserve">Расписать по дням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Не имеет значения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УЗИ внутренних органов после Rg исследования с контрастным веществом можно проводить: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Сразу после него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Не менее, чем через 6 часов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 xml:space="preserve">Не менее, чем через сутки         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Не имеет значения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При нарушениях ритма сердца необходимо назначить УЗИ: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 xml:space="preserve">Печени и желчного пузыря        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Поджелудочной железы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Селезенки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Почек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5.</w:t>
        <w:tab/>
        <w:t>Щитовидной железы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Поликистоз печени чаще сочетается с поликистозом: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 xml:space="preserve">Почек       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Поджелудочной железы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Селезенки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Яичников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Инсулинозависмый диабет у детей при УЗИ может проявляться: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 xml:space="preserve">Жировой инфильтрацией печени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Циррозом печени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Очаговыми изменениями печени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Печень никогда не меняется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5.</w:t>
        <w:tab/>
        <w:t>Фиброзом печени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Выявленное при УЗИ расширение протока поджелудочной железы у детей чаще всего обусловлено: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Патологией большого дуоденального сосочка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Патологией ж/п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 xml:space="preserve">Патологией желудка                   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Дискинезией 12-п.к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5.</w:t>
        <w:tab/>
        <w:t>Патологией общего желчного протока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Реактивные (вторичные) изменения при УЗИ поджелудочной железы у детей – это: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Неспецифические изменения паренхимы, размеров ж/п, связанные с поражением других органов и систем и исчезающие полностью или частично при лечении основного заболевания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 xml:space="preserve">Изменения паренхимы при инфекционных заболеваниях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 xml:space="preserve">Изменение паренхимы при аллергических состояниях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Изменение паренхимы при дисбактериозе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5.</w:t>
        <w:tab/>
        <w:t>Изменение паренхимы при гастродуодените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При УЗИ предположительно диагностировать хр.панкреатит у ребенка (при соответствующей клинике)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Нельзя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 xml:space="preserve">Можно, при стабильных структурных изменениях паренхимы на фоне адекватной терапии                                                            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Можно, при функциональных изменениях п/ж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Такое заболевание у детей не встречается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изменения описанных при проведении ультразвукового исследования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исследования при неотложных ситуациях</w:t>
      </w:r>
    </w:p>
    <w:p>
      <w:pPr>
        <w:pStyle w:val="ListParagraph"/>
        <w:ind w:left="1069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 SEQ AutoNr \* ARABIC 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4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«Ультразвуковая диагностика заболеваний селезёнки у детей».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Эхокартина в норме, возрастные размеры селезёнки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Эхокартина добавочной селезёнки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Эхокартина при острых инф. процессах.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Эхокартина при хронических инф. процессах.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Эхокартина при иммунодефиците.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Эхокартина при заболеваниях печени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Эхокартина при портальной гипертензии.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Эхокартина при онко патологии.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Эхокартина при травме селезёнки (ушиб, гематома)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Эхокартина при липоидозе.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Повышенная подвижность селезёнки.</w:t>
      </w:r>
    </w:p>
    <w:p>
      <w:pPr>
        <w:pStyle w:val="Normal"/>
        <w:numPr>
          <w:ilvl w:val="0"/>
          <w:numId w:val="22"/>
        </w:numPr>
        <w:jc w:val="both"/>
        <w:rPr/>
      </w:pPr>
      <w:r>
        <w:rPr/>
        <w:t>Эхокартина кальцинатов селезёнки.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  <w:t xml:space="preserve">Задача № 1. </w:t>
      </w:r>
    </w:p>
    <w:p>
      <w:pPr>
        <w:pStyle w:val="Normal"/>
        <w:rPr/>
      </w:pPr>
      <w:r>
        <w:rPr/>
        <w:t>Ребенок 9 лет. Во время беременности женщина перенесла грипп. УЗД селезенки.</w:t>
      </w:r>
    </w:p>
    <w:p>
      <w:pPr>
        <w:pStyle w:val="Normal"/>
        <w:rPr/>
      </w:pPr>
      <w:r>
        <w:rPr/>
        <w:drawing>
          <wp:inline distT="0" distB="0" distL="0" distR="0">
            <wp:extent cx="5542280" cy="4064000"/>
            <wp:effectExtent l="0" t="0" r="0" b="0"/>
            <wp:docPr id="14" name="Рисунок 1" descr="http://www.usfd.ru/sites/default/files/images/selezenka-ech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 descr="http://www.usfd.ru/sites/default/files/images/selezenka-echo-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11919" r="15856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1. </w:t>
      </w:r>
    </w:p>
    <w:p>
      <w:pPr>
        <w:pStyle w:val="Normal"/>
        <w:rPr>
          <w:color w:val="000000"/>
        </w:rPr>
      </w:pPr>
      <w:r>
        <w:rPr>
          <w:color w:val="000000"/>
        </w:rPr>
        <w:t>1.  в паренхиме гиперэхогенные образования с аккустической тенью</w:t>
      </w:r>
    </w:p>
    <w:p>
      <w:pPr>
        <w:pStyle w:val="Normal"/>
        <w:rPr>
          <w:color w:val="000000"/>
        </w:rPr>
      </w:pPr>
      <w:r>
        <w:rPr>
          <w:color w:val="000000"/>
        </w:rPr>
        <w:t>2. ранее перенесенное специфическое инфекционное заболевание</w:t>
      </w:r>
    </w:p>
    <w:p>
      <w:pPr>
        <w:pStyle w:val="Normal"/>
        <w:rPr>
          <w:color w:val="000000"/>
        </w:rPr>
      </w:pPr>
      <w:r>
        <w:rPr>
          <w:color w:val="000000"/>
        </w:rPr>
        <w:t>3. при необходимости вирусологическое исследование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left="567" w:hanging="0"/>
        <w:jc w:val="both"/>
        <w:rPr/>
      </w:pPr>
      <w:r>
        <w:rPr/>
        <w:t>Во время ультразвукового исследования при мононуклеозе можно выявить</w:t>
      </w:r>
    </w:p>
    <w:p>
      <w:pPr>
        <w:pStyle w:val="Normal"/>
        <w:ind w:left="567" w:hanging="0"/>
        <w:jc w:val="both"/>
        <w:rPr/>
      </w:pPr>
      <w:r>
        <w:rPr/>
        <w:t>1. увеличение печени и селезенки</w:t>
      </w:r>
    </w:p>
    <w:p>
      <w:pPr>
        <w:pStyle w:val="Normal"/>
        <w:ind w:left="567" w:hanging="0"/>
        <w:jc w:val="both"/>
        <w:rPr/>
      </w:pPr>
      <w:r>
        <w:rPr/>
        <w:t>2. увеличение печени и селезенки с очаговыми изменениями паренхимы этих органов</w:t>
      </w:r>
    </w:p>
    <w:p>
      <w:pPr>
        <w:pStyle w:val="Normal"/>
        <w:ind w:left="567" w:hanging="0"/>
        <w:jc w:val="both"/>
        <w:rPr/>
      </w:pPr>
      <w:r>
        <w:rPr/>
        <w:t>3. очаговые изменения паренхимы печени и селезенки</w:t>
      </w:r>
    </w:p>
    <w:p>
      <w:pPr>
        <w:pStyle w:val="Normal"/>
        <w:ind w:left="567" w:hanging="0"/>
        <w:jc w:val="both"/>
        <w:rPr/>
      </w:pPr>
      <w:r>
        <w:rPr/>
        <w:t>4. появление пакетов лимфоузлов в воротах селезенки</w:t>
      </w:r>
    </w:p>
    <w:p>
      <w:pPr>
        <w:pStyle w:val="Normal"/>
        <w:ind w:left="567" w:hanging="0"/>
        <w:jc w:val="both"/>
        <w:rPr/>
      </w:pPr>
      <w:r>
        <w:rPr/>
      </w:r>
    </w:p>
    <w:p>
      <w:pPr>
        <w:pStyle w:val="Normal"/>
        <w:ind w:left="567" w:hanging="0"/>
        <w:jc w:val="both"/>
        <w:rPr/>
      </w:pPr>
      <w:r>
        <w:rPr/>
        <w:t>Прявление при ультразвуковом исследовании гипоэхогенных включений тканевого характера в паренхиме печени и селезенки на фоне высокой температуры и ускоренной СОЭ у ребенка не позволяет предположить</w:t>
      </w:r>
    </w:p>
    <w:p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Мононуклеоз</w:t>
      </w:r>
    </w:p>
    <w:p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Иерсениоз</w:t>
      </w:r>
    </w:p>
    <w:p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Хламидиоз</w:t>
      </w:r>
    </w:p>
    <w:p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злокачественную лимфому</w:t>
      </w:r>
    </w:p>
    <w:p>
      <w:pPr>
        <w:pStyle w:val="Normal"/>
        <w:ind w:left="567" w:hanging="0"/>
        <w:jc w:val="both"/>
        <w:rPr/>
      </w:pPr>
      <w:r>
        <w:rPr/>
      </w:r>
    </w:p>
    <w:p>
      <w:pPr>
        <w:pStyle w:val="Normal"/>
        <w:ind w:left="567" w:hanging="0"/>
        <w:jc w:val="both"/>
        <w:rPr/>
      </w:pPr>
      <w:r>
        <w:rPr/>
        <w:t>Чаще всего добавочная селезенка локализуется</w:t>
      </w:r>
    </w:p>
    <w:p>
      <w:pPr>
        <w:pStyle w:val="Normal"/>
        <w:ind w:left="567" w:hanging="0"/>
        <w:jc w:val="both"/>
        <w:rPr/>
      </w:pPr>
      <w:r>
        <w:rPr/>
        <w:t>1. в области ворот и нижнего полюса</w:t>
      </w:r>
    </w:p>
    <w:p>
      <w:pPr>
        <w:pStyle w:val="Normal"/>
        <w:ind w:left="567" w:hanging="0"/>
        <w:jc w:val="both"/>
        <w:rPr/>
      </w:pPr>
      <w:r>
        <w:rPr/>
        <w:t>2. в области ворот и верхнего полюса</w:t>
      </w:r>
    </w:p>
    <w:p>
      <w:pPr>
        <w:pStyle w:val="Normal"/>
        <w:ind w:left="567" w:hanging="0"/>
        <w:jc w:val="both"/>
        <w:rPr/>
      </w:pPr>
      <w:r>
        <w:rPr/>
        <w:t>3. в области нижнего полюса</w:t>
      </w:r>
    </w:p>
    <w:p>
      <w:pPr>
        <w:pStyle w:val="Normal"/>
        <w:ind w:left="567" w:hanging="0"/>
        <w:jc w:val="both"/>
        <w:rPr/>
      </w:pPr>
      <w:r>
        <w:rPr/>
        <w:t>4. в области верхнего полюса</w:t>
      </w:r>
    </w:p>
    <w:p>
      <w:pPr>
        <w:pStyle w:val="Normal"/>
        <w:ind w:firstLine="709"/>
        <w:jc w:val="both"/>
        <w:rPr/>
      </w:pPr>
      <w:r>
        <w:rPr/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изменения опияисанных при проведении ультразвукового исследован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исследования при неотложных ситуациях</w:t>
      </w:r>
    </w:p>
    <w:p>
      <w:pPr>
        <w:pStyle w:val="ListParagraph"/>
        <w:ind w:left="1069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 SEQ AutoNr \* ARABIC 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5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«Ультразвуковая диагностика заболеваний почек и мочевого пузыря у детей».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>
      <w:pPr>
        <w:pStyle w:val="Normal"/>
        <w:ind w:firstLine="709"/>
        <w:rPr/>
      </w:pPr>
      <w:r>
        <w:rPr/>
        <w:t>1.</w:t>
        <w:tab/>
        <w:t>Эхокартина почек в норме, возрастные размеры почек</w:t>
      </w:r>
    </w:p>
    <w:p>
      <w:pPr>
        <w:pStyle w:val="Normal"/>
        <w:ind w:firstLine="709"/>
        <w:rPr/>
      </w:pPr>
      <w:r>
        <w:rPr/>
        <w:t>2.</w:t>
        <w:tab/>
        <w:t>Эхокартина врождённой аномалии почек (мультикистоза), дисплазии, аномалии положения, размера, количества (агенезии, удвоения полного и неполного)</w:t>
      </w:r>
    </w:p>
    <w:p>
      <w:pPr>
        <w:pStyle w:val="Normal"/>
        <w:ind w:firstLine="709"/>
        <w:rPr/>
      </w:pPr>
      <w:r>
        <w:rPr/>
        <w:t>3</w:t>
        <w:tab/>
        <w:t>Эхокартина при остром пиелонефрите.</w:t>
      </w:r>
    </w:p>
    <w:p>
      <w:pPr>
        <w:pStyle w:val="Normal"/>
        <w:ind w:firstLine="709"/>
        <w:rPr/>
      </w:pPr>
      <w:r>
        <w:rPr/>
        <w:t>4.</w:t>
        <w:tab/>
        <w:t>Эхокартина при хроническом пиелонефрите.</w:t>
      </w:r>
    </w:p>
    <w:p>
      <w:pPr>
        <w:pStyle w:val="Normal"/>
        <w:ind w:firstLine="709"/>
        <w:rPr/>
      </w:pPr>
      <w:r>
        <w:rPr/>
        <w:t>5.</w:t>
        <w:tab/>
        <w:t>Эхокартина при обструктивном пиелонефрите.</w:t>
      </w:r>
    </w:p>
    <w:p>
      <w:pPr>
        <w:pStyle w:val="Normal"/>
        <w:ind w:firstLine="709"/>
        <w:rPr/>
      </w:pPr>
      <w:r>
        <w:rPr/>
        <w:t>6.</w:t>
        <w:tab/>
        <w:t>Эхокартина при остром гломерулонефрите, ГУС-синдроме.</w:t>
      </w:r>
    </w:p>
    <w:p>
      <w:pPr>
        <w:pStyle w:val="Normal"/>
        <w:ind w:firstLine="709"/>
        <w:rPr/>
      </w:pPr>
      <w:r>
        <w:rPr/>
        <w:t>7.</w:t>
        <w:tab/>
        <w:t>Эхокартина при хронрическом гломерулонефрите.</w:t>
      </w:r>
    </w:p>
    <w:p>
      <w:pPr>
        <w:pStyle w:val="Normal"/>
        <w:ind w:firstLine="709"/>
        <w:rPr/>
      </w:pPr>
      <w:r>
        <w:rPr/>
        <w:t>8.</w:t>
        <w:tab/>
        <w:t>Эхокартина при опухолях почек.</w:t>
      </w:r>
    </w:p>
    <w:p>
      <w:pPr>
        <w:pStyle w:val="Normal"/>
        <w:ind w:firstLine="709"/>
        <w:rPr/>
      </w:pPr>
      <w:r>
        <w:rPr/>
        <w:t>9.</w:t>
        <w:tab/>
        <w:t>Эхокартина при травме почек (ушиб, гематома)</w:t>
      </w:r>
    </w:p>
    <w:p>
      <w:pPr>
        <w:pStyle w:val="Normal"/>
        <w:ind w:firstLine="709"/>
        <w:rPr/>
      </w:pPr>
      <w:r>
        <w:rPr/>
        <w:t>10.</w:t>
        <w:tab/>
        <w:t>Эхокартина при нефропатии.</w:t>
      </w:r>
    </w:p>
    <w:p>
      <w:pPr>
        <w:pStyle w:val="Normal"/>
        <w:ind w:firstLine="709"/>
        <w:rPr/>
      </w:pPr>
      <w:r>
        <w:rPr/>
        <w:t>11.</w:t>
        <w:tab/>
        <w:t>Эхокартина при токсической почке.</w:t>
      </w:r>
    </w:p>
    <w:p>
      <w:pPr>
        <w:pStyle w:val="Normal"/>
        <w:ind w:firstLine="709"/>
        <w:rPr/>
      </w:pPr>
      <w:r>
        <w:rPr/>
        <w:t>12.</w:t>
        <w:tab/>
        <w:t>Эхокартина при амилоидозе почек.</w:t>
      </w:r>
    </w:p>
    <w:p>
      <w:pPr>
        <w:pStyle w:val="Normal"/>
        <w:ind w:firstLine="709"/>
        <w:rPr/>
      </w:pPr>
      <w:r>
        <w:rPr/>
        <w:t>13.</w:t>
        <w:tab/>
        <w:t>Эхокартина вторично-сморщенной почке.</w:t>
      </w:r>
    </w:p>
    <w:p>
      <w:pPr>
        <w:pStyle w:val="Normal"/>
        <w:ind w:firstLine="709"/>
        <w:rPr/>
      </w:pPr>
      <w:r>
        <w:rPr/>
        <w:t>14.</w:t>
        <w:tab/>
        <w:t>Эхокартина при пиелоэктазии.</w:t>
      </w:r>
    </w:p>
    <w:p>
      <w:pPr>
        <w:pStyle w:val="Normal"/>
        <w:ind w:firstLine="709"/>
        <w:rPr/>
      </w:pPr>
      <w:r>
        <w:rPr/>
        <w:t>15.</w:t>
        <w:tab/>
        <w:t>Эхокартина при гидроколикозе.</w:t>
      </w:r>
    </w:p>
    <w:p>
      <w:pPr>
        <w:pStyle w:val="Normal"/>
        <w:ind w:firstLine="709"/>
        <w:rPr/>
      </w:pPr>
      <w:r>
        <w:rPr/>
        <w:t>16.</w:t>
        <w:tab/>
        <w:t>Эхокартина при нефролитиазе.</w:t>
      </w:r>
    </w:p>
    <w:p>
      <w:pPr>
        <w:pStyle w:val="Normal"/>
        <w:ind w:firstLine="709"/>
        <w:rPr/>
      </w:pPr>
      <w:r>
        <w:rPr/>
        <w:t>17.</w:t>
        <w:tab/>
        <w:t>Повышенная подвижность почек и нефроптоз.</w:t>
      </w:r>
    </w:p>
    <w:p>
      <w:pPr>
        <w:pStyle w:val="Normal"/>
        <w:ind w:firstLine="709"/>
        <w:rPr/>
      </w:pPr>
      <w:r>
        <w:rPr/>
        <w:t>18.</w:t>
        <w:tab/>
        <w:t>Эхокартина острого и хронического цистита.</w:t>
      </w:r>
    </w:p>
    <w:p>
      <w:pPr>
        <w:pStyle w:val="Normal"/>
        <w:ind w:firstLine="709"/>
        <w:rPr/>
      </w:pPr>
      <w:r>
        <w:rPr/>
        <w:t>19.</w:t>
        <w:tab/>
        <w:t>Эхокартина полипа мочевого пузыря.</w:t>
      </w:r>
    </w:p>
    <w:p>
      <w:pPr>
        <w:pStyle w:val="Normal"/>
        <w:ind w:firstLine="709"/>
        <w:rPr/>
      </w:pPr>
      <w:r>
        <w:rPr/>
        <w:t>20.</w:t>
        <w:tab/>
        <w:t>Эхокартина конкремента мочевого пузыря.</w:t>
      </w:r>
    </w:p>
    <w:p>
      <w:pPr>
        <w:pStyle w:val="Normal"/>
        <w:ind w:firstLine="709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  <w:t xml:space="preserve">Задача № 1. </w:t>
      </w:r>
    </w:p>
    <w:p>
      <w:pPr>
        <w:pStyle w:val="Normal"/>
        <w:rPr/>
      </w:pPr>
      <w:r>
        <w:rPr/>
        <w:t>Ребенку 1 мес. УЗД почек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both"/>
        <w:rPr>
          <w:b/>
          <w:b/>
          <w:color w:val="000000"/>
        </w:rPr>
      </w:pPr>
      <w:r>
        <w:rPr/>
        <w:drawing>
          <wp:inline distT="0" distB="0" distL="0" distR="0">
            <wp:extent cx="2333625" cy="1807210"/>
            <wp:effectExtent l="0" t="0" r="0" b="0"/>
            <wp:docPr id="1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/>
      </w:pPr>
      <w:r>
        <w:rPr/>
        <w:t>Ребенок 10 лет. УЗД почек.</w:t>
      </w:r>
    </w:p>
    <w:p>
      <w:pPr>
        <w:pStyle w:val="Normal"/>
        <w:rPr/>
      </w:pPr>
      <w:r>
        <w:rPr/>
        <w:drawing>
          <wp:inline distT="0" distB="0" distL="0" distR="0">
            <wp:extent cx="2988310" cy="1864995"/>
            <wp:effectExtent l="0" t="0" r="0" b="0"/>
            <wp:docPr id="1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rPr/>
      </w:pPr>
      <w:r>
        <w:rPr/>
        <w:t>Ребенок 5 мес. УЗД почек.</w:t>
      </w:r>
    </w:p>
    <w:p>
      <w:pPr>
        <w:pStyle w:val="Normal"/>
        <w:rPr/>
      </w:pPr>
      <w:r>
        <w:rPr/>
        <w:drawing>
          <wp:inline distT="0" distB="0" distL="0" distR="0">
            <wp:extent cx="2973705" cy="1809750"/>
            <wp:effectExtent l="0" t="0" r="0" b="0"/>
            <wp:docPr id="17" name="Picture 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Ребенок 3 года. УЗД почек.</w:t>
      </w:r>
    </w:p>
    <w:p>
      <w:pPr>
        <w:pStyle w:val="Normal"/>
        <w:rPr/>
      </w:pPr>
      <w:r>
        <w:rPr/>
        <w:drawing>
          <wp:inline distT="0" distB="0" distL="0" distR="0">
            <wp:extent cx="2476500" cy="2054225"/>
            <wp:effectExtent l="0" t="0" r="0" b="0"/>
            <wp:docPr id="18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Ребенок 11 лет. УЗД почек.</w:t>
      </w:r>
    </w:p>
    <w:p>
      <w:pPr>
        <w:pStyle w:val="Normal"/>
        <w:rPr/>
      </w:pPr>
      <w:r>
        <w:rPr/>
        <w:drawing>
          <wp:inline distT="0" distB="0" distL="0" distR="0">
            <wp:extent cx="2409825" cy="1863090"/>
            <wp:effectExtent l="0" t="0" r="0" b="0"/>
            <wp:docPr id="19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Ребенку 12 мес. УЗД почек</w:t>
      </w:r>
    </w:p>
    <w:p>
      <w:pPr>
        <w:pStyle w:val="Normal"/>
        <w:rPr/>
      </w:pPr>
      <w:r>
        <w:rPr/>
        <w:drawing>
          <wp:inline distT="0" distB="0" distL="0" distR="0">
            <wp:extent cx="2743835" cy="2054225"/>
            <wp:effectExtent l="0" t="0" r="0" b="0"/>
            <wp:docPr id="20" name="Рисунок 10" descr="D:\Мои документы\УЗД\УЗД интернет\s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0" descr="D:\Мои документы\УЗД\УЗД интернет\s4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1. </w:t>
      </w:r>
    </w:p>
    <w:p>
      <w:pPr>
        <w:pStyle w:val="Normal"/>
        <w:rPr>
          <w:color w:val="000000"/>
        </w:rPr>
      </w:pPr>
      <w:r>
        <w:rPr>
          <w:color w:val="000000"/>
        </w:rPr>
        <w:t>1.  паренхима однородная, дифференцируется, эхогенность средняя</w:t>
      </w:r>
    </w:p>
    <w:p>
      <w:pPr>
        <w:pStyle w:val="Normal"/>
        <w:rPr>
          <w:color w:val="000000"/>
        </w:rPr>
      </w:pPr>
      <w:r>
        <w:rPr>
          <w:color w:val="000000"/>
        </w:rPr>
        <w:t>2. эхокартина без видимой патологии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2. </w:t>
      </w:r>
    </w:p>
    <w:p>
      <w:pPr>
        <w:pStyle w:val="Normal"/>
        <w:rPr>
          <w:color w:val="000000"/>
        </w:rPr>
      </w:pPr>
      <w:r>
        <w:rPr>
          <w:color w:val="000000"/>
        </w:rPr>
        <w:t>1.  паренхима однородная, дифференцируется, эхогенность средняя</w:t>
      </w:r>
    </w:p>
    <w:p>
      <w:pPr>
        <w:pStyle w:val="Normal"/>
        <w:rPr>
          <w:color w:val="000000"/>
        </w:rPr>
      </w:pPr>
      <w:r>
        <w:rPr>
          <w:color w:val="000000"/>
        </w:rPr>
        <w:t>2. колонка Бертини</w:t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3. </w:t>
      </w:r>
    </w:p>
    <w:p>
      <w:pPr>
        <w:pStyle w:val="Normal"/>
        <w:rPr>
          <w:color w:val="000000"/>
        </w:rPr>
      </w:pPr>
      <w:r>
        <w:rPr>
          <w:color w:val="000000"/>
        </w:rPr>
        <w:t>1.  паренхима повышенной эхогенности</w:t>
      </w:r>
    </w:p>
    <w:p>
      <w:pPr>
        <w:pStyle w:val="Normal"/>
        <w:rPr>
          <w:color w:val="000000"/>
        </w:rPr>
      </w:pPr>
      <w:r>
        <w:rPr>
          <w:color w:val="000000"/>
        </w:rPr>
        <w:t>2. диффузные изменения паренхимы почек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Для получения оптимальной эхографической информации о мочевом пузыре рекомендуется проведение УЗИ: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Без предварительной подготовки больного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Достаточно в наполненном состоянии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 xml:space="preserve">В наполненном состоянии и после мочеиспускания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Самая частая опухоль у детей: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Метастазы при злокачественных лимфомах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Метастазы при нейробластомах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 xml:space="preserve">Опухоль Вильмса                                             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Самостоятельная опухоль встречается крайне редко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УЗД при пузырно-мочеточниковом рефлюксе имеет диагностическую ценность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40%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50%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60%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 xml:space="preserve">70%                                                                    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5.</w:t>
        <w:tab/>
        <w:t>80%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К кистозному поражению почки (по Potter) относят все заболевания, кроме: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поликистоза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мультикистоза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туберозного склероза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 xml:space="preserve">гидронефроза                                                 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5.</w:t>
        <w:tab/>
        <w:t>солитарной кисты почки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Эхографическая оценка анатомических особенностей мочевого пузыря у детей возможна только при: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переполненном м/п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 xml:space="preserve">заполнения до первого позыва к мочеиспусканию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приеме мочегонных препаратов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искусственном ретроградном заполнении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5.</w:t>
        <w:tab/>
        <w:t>подобная оценка невозможна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Пороки развития половых органов наиболее часто сочетаются с пороками развития: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сердечно-сосудистой системы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нервной системы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 xml:space="preserve">мочевыводящей системы                                 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костно-мышечной системы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Если ребенку одновременно назначили Rg исследование, УЗИ внутренних органов и ЭХОКС, как эти исследования лучше проводить: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В один день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 xml:space="preserve">Расписать по дням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Не имеет значения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УЗИ внутренних органов после Rg исследования с контрастным веществом можно проводить: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Сразу после него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Не менее, чем через 6 часов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 xml:space="preserve">Не менее, чем через сутки         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Не имеет значения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Поликистоз печени чаще сочетается с поликистозом: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 xml:space="preserve">Почек                                                         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Поджелудочной железы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Селезенки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Яичников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5.</w:t>
        <w:tab/>
        <w:t>Верно 1 и 2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6.</w:t>
        <w:tab/>
        <w:t>Верно 1 и 4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изменения описанных при проведении ультразвукового исследования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исследования при неотложных ситуациях</w:t>
      </w:r>
    </w:p>
    <w:p>
      <w:pPr>
        <w:pStyle w:val="ListParagraph"/>
        <w:ind w:left="1069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 SEQ AutoNr \* ARABIC 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6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 xml:space="preserve">«Ультразвуковая диагностика заболеваний </w:t>
      </w:r>
      <w:r>
        <w:rPr>
          <w:b/>
          <w:color w:val="000000"/>
        </w:rPr>
        <w:t>суставов</w:t>
      </w:r>
      <w:r>
        <w:rPr>
          <w:b/>
        </w:rPr>
        <w:t xml:space="preserve"> у детей».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>
      <w:pPr>
        <w:pStyle w:val="Normal"/>
        <w:ind w:firstLine="709"/>
        <w:rPr/>
      </w:pPr>
      <w:r>
        <w:rPr/>
        <w:t>А) Эхокартина т.б. суставов в норме</w:t>
      </w:r>
    </w:p>
    <w:p>
      <w:pPr>
        <w:pStyle w:val="Normal"/>
        <w:ind w:firstLine="709"/>
        <w:rPr/>
      </w:pPr>
      <w:r>
        <w:rPr/>
        <w:t>Б) Эхокартина при дисплазии т.б.суставов.</w:t>
      </w:r>
    </w:p>
    <w:p>
      <w:pPr>
        <w:pStyle w:val="Normal"/>
        <w:ind w:firstLine="709"/>
        <w:rPr/>
      </w:pPr>
      <w:r>
        <w:rPr/>
        <w:t>В) Эхокартина воспалительных изменений.</w:t>
      </w:r>
    </w:p>
    <w:p>
      <w:pPr>
        <w:pStyle w:val="Normal"/>
        <w:ind w:firstLine="709"/>
        <w:rPr/>
      </w:pPr>
      <w:r>
        <w:rPr/>
        <w:t>Г) Эхокартина деструктивных изменений.</w:t>
      </w:r>
    </w:p>
    <w:p>
      <w:pPr>
        <w:pStyle w:val="Normal"/>
        <w:ind w:firstLine="709"/>
        <w:rPr/>
      </w:pPr>
      <w:r>
        <w:rPr/>
        <w:t>Д) Эхокартина при травме суставов.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  <w:t xml:space="preserve">Задача № 1. </w:t>
      </w:r>
    </w:p>
    <w:p>
      <w:pPr>
        <w:pStyle w:val="Normal"/>
        <w:rPr/>
      </w:pPr>
      <w:r>
        <w:rPr/>
        <w:t>Ребенку  года. УЗД т.б.сустава.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both"/>
        <w:rPr>
          <w:b/>
          <w:b/>
          <w:color w:val="000000"/>
        </w:rPr>
      </w:pPr>
      <w:r>
        <w:rPr/>
        <w:drawing>
          <wp:inline distT="0" distB="0" distL="0" distR="0">
            <wp:extent cx="4966335" cy="2731770"/>
            <wp:effectExtent l="0" t="0" r="0" b="0"/>
            <wp:docPr id="21" name="Рисунок 11" descr="E:\Документы\Занятия\УЗД для врачей УЗД\к занятиям УЗД\УЗИ фото\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1" descr="E:\Документы\Занятия\УЗД для врачей УЗД\к занятиям УЗД\УЗИ фото\IMG_94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0" t="19256" r="16378" b="1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/>
      </w:pPr>
      <w:r>
        <w:rPr/>
        <w:t>Ребенок 10 лет. УЗД коленного сустава.</w:t>
      </w:r>
    </w:p>
    <w:p>
      <w:pPr>
        <w:pStyle w:val="Normal"/>
        <w:rPr/>
      </w:pPr>
      <w:r>
        <w:rPr/>
        <w:drawing>
          <wp:inline distT="0" distB="0" distL="0" distR="0">
            <wp:extent cx="2212340" cy="1737995"/>
            <wp:effectExtent l="0" t="0" r="0" b="0"/>
            <wp:docPr id="22" name="Рисунок 12" descr="E:\Документы\Занятия\УЗД для врачей УЗД\к занятиям УЗД\УЗИ фото\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2" descr="E:\Документы\Занятия\УЗД для врачей УЗД\к занятиям УЗД\УЗИ фото\IMG_942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7396" t="25912" r="25762" b="1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Ребенок 6 лет. УЗД коленного сустава.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3589655" cy="2145030"/>
            <wp:effectExtent l="0" t="0" r="0" b="0"/>
            <wp:docPr id="23" name="Рисунок 13" descr="E:\Документы\Занятия\УЗД для врачей УЗД\к занятиям УЗД\УЗИ фото\IMG_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3" descr="E:\Документы\Занятия\УЗД для врачей УЗД\к занятиям УЗД\УЗИ фото\IMG_942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3687" t="21287" r="25876" b="3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1. </w:t>
      </w:r>
    </w:p>
    <w:p>
      <w:pPr>
        <w:pStyle w:val="Normal"/>
        <w:rPr>
          <w:color w:val="000000"/>
        </w:rPr>
      </w:pPr>
      <w:r>
        <w:rPr>
          <w:color w:val="000000"/>
        </w:rPr>
        <w:t>1.  выпот в завороте</w:t>
      </w:r>
    </w:p>
    <w:p>
      <w:pPr>
        <w:pStyle w:val="Normal"/>
        <w:rPr>
          <w:color w:val="000000"/>
        </w:rPr>
      </w:pPr>
      <w:r>
        <w:rPr>
          <w:color w:val="000000"/>
        </w:rPr>
        <w:t>2. артрит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2. </w:t>
      </w:r>
    </w:p>
    <w:p>
      <w:pPr>
        <w:pStyle w:val="Normal"/>
        <w:rPr>
          <w:color w:val="000000"/>
        </w:rPr>
      </w:pPr>
      <w:r>
        <w:rPr>
          <w:color w:val="000000"/>
        </w:rPr>
        <w:t>1.  неровный субхондральный слой</w:t>
      </w:r>
    </w:p>
    <w:p>
      <w:pPr>
        <w:pStyle w:val="Normal"/>
        <w:rPr>
          <w:color w:val="000000"/>
        </w:rPr>
      </w:pPr>
      <w:r>
        <w:rPr>
          <w:color w:val="000000"/>
        </w:rPr>
        <w:t>2. искл остеопороз, нарушение мин обмена</w:t>
      </w:r>
    </w:p>
    <w:p>
      <w:pPr>
        <w:pStyle w:val="Normal"/>
        <w:rPr>
          <w:color w:val="000000"/>
        </w:rPr>
      </w:pPr>
      <w:r>
        <w:rPr>
          <w:color w:val="000000"/>
        </w:rPr>
        <w:t>3. денситометрия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Стойкое утолщение синовиальной оболочки характерно для</w:t>
      </w:r>
    </w:p>
    <w:p>
      <w:pPr>
        <w:pStyle w:val="ListParagraph"/>
        <w:numPr>
          <w:ilvl w:val="0"/>
          <w:numId w:val="2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Повышение эхогенности суставного хряща</w:t>
      </w:r>
    </w:p>
    <w:p>
      <w:pPr>
        <w:pStyle w:val="ListParagraph"/>
        <w:numPr>
          <w:ilvl w:val="0"/>
          <w:numId w:val="2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Диффузные изменения хряща</w:t>
      </w:r>
    </w:p>
    <w:p>
      <w:pPr>
        <w:pStyle w:val="ListParagraph"/>
        <w:ind w:left="1414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rPr>
          <w:color w:val="000000"/>
        </w:rPr>
      </w:pPr>
      <w:r>
        <w:rPr>
          <w:color w:val="000000"/>
        </w:rPr>
        <w:t>Для синовита характерно</w:t>
      </w:r>
    </w:p>
    <w:p>
      <w:pPr>
        <w:pStyle w:val="ListParagraph"/>
        <w:numPr>
          <w:ilvl w:val="0"/>
          <w:numId w:val="2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утолщение синовиальной оболочки</w:t>
      </w:r>
    </w:p>
    <w:p>
      <w:pPr>
        <w:pStyle w:val="ListParagraph"/>
        <w:numPr>
          <w:ilvl w:val="0"/>
          <w:numId w:val="2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утолщение субхондрального слоя</w:t>
      </w:r>
    </w:p>
    <w:p>
      <w:pPr>
        <w:pStyle w:val="ListParagraph"/>
        <w:numPr>
          <w:ilvl w:val="0"/>
          <w:numId w:val="2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наличие остеофитов</w:t>
      </w:r>
    </w:p>
    <w:p>
      <w:pPr>
        <w:pStyle w:val="ListParagraph"/>
        <w:numPr>
          <w:ilvl w:val="0"/>
          <w:numId w:val="2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Утолщение связок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  <w:t>Киста Бейкера может определяться</w:t>
        <w:tab/>
      </w:r>
    </w:p>
    <w:p>
      <w:pPr>
        <w:pStyle w:val="ListParagraph"/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подколенной ямке</w:t>
      </w:r>
    </w:p>
    <w:p>
      <w:pPr>
        <w:pStyle w:val="ListParagraph"/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кубитальной ямке</w:t>
        <w:tab/>
      </w:r>
    </w:p>
    <w:p>
      <w:pPr>
        <w:pStyle w:val="ListParagraph"/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передней поверхности голеностопного сустава</w:t>
        <w:tab/>
      </w:r>
    </w:p>
    <w:p>
      <w:pPr>
        <w:pStyle w:val="ListParagraph"/>
        <w:numPr>
          <w:ilvl w:val="0"/>
          <w:numId w:val="26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области тазобедренного сустава</w:t>
      </w:r>
    </w:p>
    <w:p>
      <w:pPr>
        <w:pStyle w:val="ListParagraph"/>
        <w:ind w:left="1414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rPr>
          <w:color w:val="000000"/>
        </w:rPr>
      </w:pPr>
      <w:r>
        <w:rPr>
          <w:color w:val="000000"/>
        </w:rPr>
        <w:t>Для диагностики поражения мягких тканей целесообразно назначить</w:t>
      </w:r>
    </w:p>
    <w:p>
      <w:pPr>
        <w:pStyle w:val="ListParagraph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Ультразвуковое исследование</w:t>
        <w:tab/>
      </w:r>
    </w:p>
    <w:p>
      <w:pPr>
        <w:pStyle w:val="ListParagraph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Рентгенологическое исследование</w:t>
        <w:tab/>
      </w:r>
    </w:p>
    <w:p>
      <w:pPr>
        <w:pStyle w:val="ListParagraph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Артроскопию</w:t>
        <w:tab/>
      </w:r>
    </w:p>
    <w:p>
      <w:pPr>
        <w:pStyle w:val="ListParagraph"/>
        <w:numPr>
          <w:ilvl w:val="0"/>
          <w:numId w:val="2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биопсию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  <w:t>Какие суставы чаще поражаются при реактивном артрите</w:t>
        <w:tab/>
      </w:r>
    </w:p>
    <w:p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Тазобедренные</w:t>
        <w:tab/>
      </w:r>
    </w:p>
    <w:p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Голеностопные</w:t>
        <w:tab/>
      </w:r>
    </w:p>
    <w:p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Локтевые</w:t>
        <w:tab/>
      </w:r>
    </w:p>
    <w:p>
      <w:pPr>
        <w:pStyle w:val="ListParagraph"/>
        <w:numPr>
          <w:ilvl w:val="0"/>
          <w:numId w:val="2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челюстные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  <w:t>Наличие выпота в сумках тазобедренного сустава с утолщением синовиальной оболочки не характерно для</w:t>
        <w:tab/>
      </w:r>
    </w:p>
    <w:p>
      <w:pPr>
        <w:pStyle w:val="ListParagraph"/>
        <w:numPr>
          <w:ilvl w:val="0"/>
          <w:numId w:val="2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Мажет быть вариантом нормы</w:t>
        <w:tab/>
      </w:r>
    </w:p>
    <w:p>
      <w:pPr>
        <w:pStyle w:val="ListParagraph"/>
        <w:numPr>
          <w:ilvl w:val="0"/>
          <w:numId w:val="2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Ювенильного артрита</w:t>
        <w:tab/>
      </w:r>
    </w:p>
    <w:p>
      <w:pPr>
        <w:pStyle w:val="ListParagraph"/>
        <w:numPr>
          <w:ilvl w:val="0"/>
          <w:numId w:val="2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Болезни Пертеса</w:t>
        <w:tab/>
      </w:r>
    </w:p>
    <w:p>
      <w:pPr>
        <w:pStyle w:val="ListParagraph"/>
        <w:numPr>
          <w:ilvl w:val="0"/>
          <w:numId w:val="29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Реактивного артрита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изменения описанных при проведении ультразвукового исследования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исследования при неотложных ситуациях</w:t>
      </w:r>
    </w:p>
    <w:p>
      <w:pPr>
        <w:pStyle w:val="ListParagraph"/>
        <w:ind w:left="1069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Тема №</w:t>
      </w:r>
      <w:r>
        <w:rPr>
          <w:b/>
          <w:color w:val="000000"/>
        </w:rPr>
        <w:fldChar w:fldCharType="begin"/>
      </w:r>
      <w:r>
        <w:rPr>
          <w:b/>
          <w:color w:val="000000"/>
        </w:rPr>
        <w:instrText> SEQ AutoNr \* ARABIC </w:instrText>
      </w:r>
      <w:r>
        <w:rPr>
          <w:b/>
          <w:color w:val="000000"/>
        </w:rPr>
        <w:fldChar w:fldCharType="separate"/>
      </w:r>
      <w:r>
        <w:rPr>
          <w:b/>
          <w:color w:val="000000"/>
        </w:rPr>
        <w:t>7</w:t>
      </w:r>
      <w:r>
        <w:rPr>
          <w:b/>
          <w:color w:val="000000"/>
        </w:rPr>
        <w:fldChar w:fldCharType="end"/>
      </w:r>
      <w:r>
        <w:rPr>
          <w:color w:val="000000"/>
          <w:u w:val="single"/>
        </w:rPr>
        <w:t xml:space="preserve"> </w:t>
      </w:r>
      <w:r>
        <w:rPr>
          <w:b/>
        </w:rPr>
        <w:t>«Ультразвуковая диагностика заболеваний щитовидной железы у детей».</w:t>
      </w:r>
    </w:p>
    <w:p>
      <w:pPr>
        <w:pStyle w:val="Normal"/>
        <w:ind w:firstLine="709"/>
        <w:jc w:val="both"/>
        <w:rPr>
          <w:color w:val="000000"/>
        </w:rPr>
      </w:pPr>
      <w:r>
        <w:rPr>
          <w:b/>
          <w:color w:val="000000"/>
        </w:rPr>
        <w:t>Формы текущего контроля</w:t>
      </w:r>
      <w:r>
        <w:rPr>
          <w:color w:val="000000"/>
        </w:rPr>
        <w:t xml:space="preserve"> </w:t>
      </w:r>
      <w:r>
        <w:rPr>
          <w:b/>
          <w:color w:val="000000"/>
        </w:rPr>
        <w:t>успеваемости</w:t>
      </w:r>
      <w:r>
        <w:rPr>
          <w:i/>
          <w:color w:val="000000"/>
        </w:rPr>
        <w:t xml:space="preserve">: </w:t>
      </w:r>
      <w:r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>
      <w:pPr>
        <w:pStyle w:val="Normal"/>
        <w:ind w:firstLine="709"/>
        <w:jc w:val="both"/>
        <w:rPr>
          <w:i/>
          <w:i/>
          <w:color w:val="000000"/>
        </w:rPr>
      </w:pPr>
      <w:r>
        <w:rPr>
          <w:b/>
          <w:color w:val="000000"/>
        </w:rPr>
        <w:t>Оценочные материалы текущего контроля успеваемости</w:t>
      </w:r>
      <w:r>
        <w:rPr>
          <w:i/>
          <w:color w:val="000000"/>
        </w:rPr>
        <w:t xml:space="preserve"> 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Вопросы для устного опроса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  <w:t>1.Эхокартина щитовидной железы в норме, структуры паренхимы, капсулы, сосудов железы, размеров с учётом площади поверхности тела.</w:t>
      </w:r>
    </w:p>
    <w:p>
      <w:pPr>
        <w:pStyle w:val="Normal"/>
        <w:rPr>
          <w:color w:val="000000"/>
        </w:rPr>
      </w:pPr>
      <w:r>
        <w:rPr>
          <w:color w:val="000000"/>
        </w:rPr>
        <w:t>2.Частная эхография. Эхокартина щитовидной железы при:</w:t>
      </w:r>
    </w:p>
    <w:p>
      <w:pPr>
        <w:pStyle w:val="Normal"/>
        <w:rPr>
          <w:color w:val="000000"/>
        </w:rPr>
      </w:pPr>
      <w:r>
        <w:rPr>
          <w:color w:val="000000"/>
        </w:rPr>
        <w:t>А) тиреотоксикозе</w:t>
      </w:r>
    </w:p>
    <w:p>
      <w:pPr>
        <w:pStyle w:val="Normal"/>
        <w:rPr>
          <w:color w:val="000000"/>
        </w:rPr>
      </w:pPr>
      <w:r>
        <w:rPr>
          <w:color w:val="000000"/>
        </w:rPr>
        <w:t>Б) гипотиреозе</w:t>
      </w:r>
    </w:p>
    <w:p>
      <w:pPr>
        <w:pStyle w:val="Normal"/>
        <w:rPr>
          <w:color w:val="000000"/>
        </w:rPr>
      </w:pPr>
      <w:r>
        <w:rPr>
          <w:color w:val="000000"/>
        </w:rPr>
        <w:t xml:space="preserve">В) аутоиммунном тиреоидите </w:t>
      </w:r>
    </w:p>
    <w:p>
      <w:pPr>
        <w:pStyle w:val="Normal"/>
        <w:rPr>
          <w:color w:val="000000"/>
        </w:rPr>
      </w:pPr>
      <w:r>
        <w:rPr>
          <w:color w:val="000000"/>
        </w:rPr>
        <w:t>Г) диффузнотоксическом зобе</w:t>
      </w:r>
    </w:p>
    <w:p>
      <w:pPr>
        <w:pStyle w:val="Normal"/>
        <w:rPr>
          <w:color w:val="000000"/>
        </w:rPr>
      </w:pPr>
      <w:r>
        <w:rPr>
          <w:color w:val="000000"/>
        </w:rPr>
        <w:t>Д) узловом зоб</w:t>
      </w:r>
    </w:p>
    <w:p>
      <w:pPr>
        <w:pStyle w:val="Normal"/>
        <w:ind w:firstLine="709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Тексты ситуационных задач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  <w:t xml:space="preserve">Задача № 1. </w:t>
      </w:r>
    </w:p>
    <w:p>
      <w:pPr>
        <w:pStyle w:val="Normal"/>
        <w:rPr/>
      </w:pPr>
      <w:r>
        <w:rPr/>
        <w:t>Ребенку 1 мес. УЗД щитовидной железы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both"/>
        <w:rPr>
          <w:b/>
          <w:b/>
          <w:color w:val="000000"/>
        </w:rPr>
      </w:pPr>
      <w:r>
        <w:rPr/>
        <w:drawing>
          <wp:inline distT="0" distB="0" distL="0" distR="0">
            <wp:extent cx="5429885" cy="2580005"/>
            <wp:effectExtent l="0" t="0" r="0" b="0"/>
            <wp:docPr id="24" name="Рисунок 14" descr="E:\Документы\Занятия\УЗД для врачей УЗД\к занятиям УЗД\УЗИ фото\щж оч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4" descr="E:\Документы\Занятия\УЗД для врачей УЗД\к занятиям УЗД\УЗИ фото\щж очаг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0" t="0" r="8583" b="4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/>
      </w:pPr>
      <w:r>
        <w:rPr/>
        <w:t>Ребенок 2 мес. УЗД щитовидной железы.</w:t>
      </w:r>
    </w:p>
    <w:p>
      <w:pPr>
        <w:pStyle w:val="Normal"/>
        <w:rPr/>
      </w:pPr>
      <w:r>
        <w:rPr/>
        <w:drawing>
          <wp:inline distT="0" distB="0" distL="0" distR="0">
            <wp:extent cx="4919345" cy="2894965"/>
            <wp:effectExtent l="0" t="0" r="0" b="0"/>
            <wp:docPr id="25" name="Рисунок 15" descr="E:\Документы\Занятия\УЗД для врачей УЗД\к занятиям УЗД\УЗИ фото\Щ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5" descr="E:\Документы\Занятия\УЗД для врачей УЗД\к занятиям УЗД\УЗИ фото\ЩЖ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353" t="0" r="7813" b="3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Задание:</w:t>
      </w:r>
    </w:p>
    <w:p>
      <w:pPr>
        <w:pStyle w:val="Normal"/>
        <w:rPr/>
      </w:pPr>
      <w:r>
        <w:rPr/>
        <w:t>1.</w:t>
        <w:tab/>
        <w:t>Опишите ультразвуковую картину.</w:t>
      </w:r>
    </w:p>
    <w:p>
      <w:pPr>
        <w:pStyle w:val="Normal"/>
        <w:rPr/>
      </w:pPr>
      <w:r>
        <w:rPr/>
        <w:t>2.</w:t>
        <w:tab/>
        <w:t>Ваше заключение и вероятный диагноз.</w:t>
      </w:r>
    </w:p>
    <w:p>
      <w:pPr>
        <w:pStyle w:val="Normal"/>
        <w:rPr/>
      </w:pPr>
      <w:r>
        <w:rPr/>
        <w:t>3.</w:t>
        <w:tab/>
        <w:t>Тактика ведения пациента.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1. </w:t>
      </w:r>
    </w:p>
    <w:p>
      <w:pPr>
        <w:pStyle w:val="Normal"/>
        <w:rPr>
          <w:color w:val="000000"/>
        </w:rPr>
      </w:pPr>
      <w:r>
        <w:rPr>
          <w:color w:val="000000"/>
        </w:rPr>
        <w:t>1.  паренхима однородная, эхогенность средняя, локальное изменение паренхимы</w:t>
      </w:r>
    </w:p>
    <w:p>
      <w:pPr>
        <w:pStyle w:val="Normal"/>
        <w:rPr>
          <w:color w:val="000000"/>
        </w:rPr>
      </w:pPr>
      <w:r>
        <w:rPr>
          <w:color w:val="000000"/>
        </w:rPr>
        <w:t>2. очаговое изменение паренхимы, эктопия тимуса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 xml:space="preserve">Эталон ответа к задаче № 2. </w:t>
      </w:r>
    </w:p>
    <w:p>
      <w:pPr>
        <w:pStyle w:val="Normal"/>
        <w:rPr>
          <w:color w:val="000000"/>
        </w:rPr>
      </w:pPr>
      <w:r>
        <w:rPr>
          <w:color w:val="000000"/>
        </w:rPr>
        <w:t>1.  анэхогенное включение в паренхиме щитовидной железы</w:t>
      </w:r>
    </w:p>
    <w:p>
      <w:pPr>
        <w:pStyle w:val="Normal"/>
        <w:rPr>
          <w:color w:val="000000"/>
        </w:rPr>
      </w:pPr>
      <w:r>
        <w:rPr>
          <w:color w:val="000000"/>
        </w:rPr>
        <w:t>2. киста</w:t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Тестовые задания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При нарушениях ритма сердца необходимо назначить УЗИ: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1.</w:t>
        <w:tab/>
        <w:t>Печени и желчного пузыря                                                          1, 5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2.</w:t>
        <w:tab/>
        <w:t>Поджелудочной железы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3.</w:t>
        <w:tab/>
        <w:t>Селезенки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4.</w:t>
        <w:tab/>
        <w:t>Почек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5.</w:t>
        <w:tab/>
        <w:t>Щитовидной железы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 xml:space="preserve">Узел овальной формы, средней  эхогенности,  небольших  размеров,   расположенный  субкапсульно  по  передней  поверхности  железы,   при ультразвуковом исследовании чаще всего является:  </w:t>
      </w:r>
    </w:p>
    <w:p>
      <w:pPr>
        <w:pStyle w:val="ListParagraph"/>
        <w:numPr>
          <w:ilvl w:val="0"/>
          <w:numId w:val="3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лимфоузлом</w:t>
        <w:tab/>
      </w:r>
    </w:p>
    <w:p>
      <w:pPr>
        <w:pStyle w:val="ListParagraph"/>
        <w:numPr>
          <w:ilvl w:val="0"/>
          <w:numId w:val="3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проявлением аутоиммунного тиреоидита</w:t>
        <w:tab/>
      </w:r>
    </w:p>
    <w:p>
      <w:pPr>
        <w:pStyle w:val="ListParagraph"/>
        <w:numPr>
          <w:ilvl w:val="0"/>
          <w:numId w:val="3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проявлением недостатка йода</w:t>
        <w:tab/>
      </w:r>
    </w:p>
    <w:p>
      <w:pPr>
        <w:pStyle w:val="ListParagraph"/>
        <w:numPr>
          <w:ilvl w:val="0"/>
          <w:numId w:val="30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проявлением диффузно-токсического зоба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Максимальное  увеличение  размеров  щитовидной  железы  у  детей   наблюдается при</w:t>
        <w:tab/>
      </w:r>
    </w:p>
    <w:p>
      <w:pPr>
        <w:pStyle w:val="ListParagraph"/>
        <w:numPr>
          <w:ilvl w:val="0"/>
          <w:numId w:val="3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диффузно-токсическом зобе</w:t>
        <w:tab/>
        <w:t xml:space="preserve">аутоиммунном </w:t>
      </w:r>
    </w:p>
    <w:p>
      <w:pPr>
        <w:pStyle w:val="ListParagraph"/>
        <w:numPr>
          <w:ilvl w:val="0"/>
          <w:numId w:val="3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тиреодите</w:t>
        <w:tab/>
      </w:r>
    </w:p>
    <w:p>
      <w:pPr>
        <w:pStyle w:val="ListParagraph"/>
        <w:numPr>
          <w:ilvl w:val="0"/>
          <w:numId w:val="3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йодной недостаточности</w:t>
        <w:tab/>
      </w:r>
    </w:p>
    <w:p>
      <w:pPr>
        <w:pStyle w:val="ListParagraph"/>
        <w:numPr>
          <w:ilvl w:val="0"/>
          <w:numId w:val="3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наличии кист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Высокоэхогенная,  неоднородная  щитовидная  железа  небольших   размеров с неровными контурами у ребенка с умственной и физической отсталостью может быть признаком</w:t>
        <w:tab/>
      </w:r>
    </w:p>
    <w:p>
      <w:pPr>
        <w:pStyle w:val="ListParagraph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врожденного гипотиреоза</w:t>
        <w:tab/>
      </w:r>
    </w:p>
    <w:p>
      <w:pPr>
        <w:pStyle w:val="ListParagraph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йод-дефицитного состояния</w:t>
        <w:tab/>
      </w:r>
    </w:p>
    <w:p>
      <w:pPr>
        <w:pStyle w:val="ListParagraph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диффузно-токсическом зобе</w:t>
        <w:tab/>
      </w:r>
    </w:p>
    <w:p>
      <w:pPr>
        <w:pStyle w:val="ListParagraph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аутоиммунном тиреодите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Ультразвуковые признаки злокачественного узла</w:t>
        <w:tab/>
      </w:r>
    </w:p>
    <w:p>
      <w:pPr>
        <w:pStyle w:val="ListParagraph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все перечисленное</w:t>
        <w:tab/>
      </w:r>
    </w:p>
    <w:p>
      <w:pPr>
        <w:pStyle w:val="ListParagraph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Гипоэхогенный узел</w:t>
        <w:tab/>
      </w:r>
    </w:p>
    <w:p>
      <w:pPr>
        <w:pStyle w:val="ListParagraph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Снижение индекса резистентности менее 0,4 в сосуде по периферии узла</w:t>
        <w:tab/>
      </w:r>
    </w:p>
    <w:p>
      <w:pPr>
        <w:pStyle w:val="ListParagraph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Полициклическая неправильная форма узла, его бугристые контуры, нечеткие прерывистые размытые границы</w:t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firstLine="709"/>
        <w:jc w:val="both"/>
        <w:rPr>
          <w:color w:val="000000"/>
        </w:rPr>
      </w:pPr>
      <w:r>
        <w:rPr>
          <w:color w:val="000000"/>
        </w:rPr>
        <w:t>У детей чаще встречается</w:t>
        <w:tab/>
      </w:r>
    </w:p>
    <w:p>
      <w:pPr>
        <w:pStyle w:val="ListParagraph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диффузное эутиреоидное (нетоксическое) увеличение щитовидной железы</w:t>
        <w:tab/>
      </w:r>
    </w:p>
    <w:p>
      <w:pPr>
        <w:pStyle w:val="ListParagraph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Аутоиммунный тиреоидит</w:t>
        <w:tab/>
      </w:r>
    </w:p>
    <w:p>
      <w:pPr>
        <w:pStyle w:val="ListParagraph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Диффузный токсический зоб</w:t>
        <w:tab/>
      </w:r>
    </w:p>
    <w:p>
      <w:pPr>
        <w:pStyle w:val="ListParagraph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Узловая патология щитовидной железы</w:t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Практические задания для демонстрации практических навыков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выделить патологически значимые изменения описанных при проведении ультразвукового исследования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Интерпретировать ультразвуковые признаки при патологии </w:t>
      </w:r>
    </w:p>
    <w:p>
      <w:pPr>
        <w:pStyle w:val="ListParagraph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Назначить необходимые ультразвуковые исследования при неотложных ситуациях</w:t>
      </w:r>
    </w:p>
    <w:p>
      <w:pPr>
        <w:pStyle w:val="ListParagraph"/>
        <w:ind w:left="1069" w:hang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both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center"/>
        <w:rPr>
          <w:b/>
          <w:b/>
          <w:color w:val="000000"/>
        </w:rPr>
      </w:pPr>
      <w:r>
        <w:rPr>
          <w:b/>
          <w:color w:val="000000"/>
        </w:rPr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p>
      <w:pPr>
        <w:pStyle w:val="Normal"/>
        <w:ind w:firstLine="709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a3"/>
        <w:tblW w:w="9923" w:type="dxa"/>
        <w:jc w:val="left"/>
        <w:tblInd w:w="2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05"/>
        <w:gridCol w:w="6917"/>
      </w:tblGrid>
      <w:tr>
        <w:trPr/>
        <w:tc>
          <w:tcPr>
            <w:tcW w:w="30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 xml:space="preserve">Форма контроля </w:t>
            </w:r>
          </w:p>
        </w:tc>
        <w:tc>
          <w:tcPr>
            <w:tcW w:w="691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>Критерии оценивания</w:t>
            </w:r>
          </w:p>
        </w:tc>
      </w:tr>
      <w:tr>
        <w:trPr/>
        <w:tc>
          <w:tcPr>
            <w:tcW w:w="300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>тестирование</w:t>
            </w:r>
          </w:p>
        </w:tc>
        <w:tc>
          <w:tcPr>
            <w:tcW w:w="691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b/>
                <w:b/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Оценка «ОТЛИЧНО» выставляется при условии 90-100% правильных ответов</w:t>
            </w:r>
          </w:p>
        </w:tc>
      </w:tr>
      <w:tr>
        <w:trPr/>
        <w:tc>
          <w:tcPr>
            <w:tcW w:w="300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691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b/>
                <w:b/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Оценка «ХОРОШО» выставляется при условии 75-89% правильных ответов</w:t>
            </w:r>
          </w:p>
        </w:tc>
      </w:tr>
      <w:tr>
        <w:trPr/>
        <w:tc>
          <w:tcPr>
            <w:tcW w:w="300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691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b/>
                <w:b/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Оценка «УДОВЛЕТВОРИТЕЛЬНО» выставляется при условии 60-74% правильных ответов</w:t>
            </w:r>
          </w:p>
        </w:tc>
      </w:tr>
      <w:tr>
        <w:trPr/>
        <w:tc>
          <w:tcPr>
            <w:tcW w:w="300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691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b/>
                <w:b/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Оценка «НЕУДОВЛЕТВОРИТЕЛЬНО» выставляется при условии 59% и меньше правильных ответов.</w:t>
            </w:r>
          </w:p>
        </w:tc>
      </w:tr>
      <w:tr>
        <w:trPr>
          <w:trHeight w:val="180" w:hRule="atLeast"/>
        </w:trPr>
        <w:tc>
          <w:tcPr>
            <w:tcW w:w="300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>проверка практических навыков</w:t>
            </w:r>
          </w:p>
        </w:tc>
        <w:tc>
          <w:tcPr>
            <w:tcW w:w="691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 xml:space="preserve">Оценка «ЗАЧТЕНО» выставляется, если обучающийся </w:t>
            </w:r>
            <w:r>
              <w:rPr>
                <w:kern w:val="0"/>
                <w:lang w:val="ru-RU" w:bidi="ar-SA"/>
              </w:rPr>
              <w:t xml:space="preserve">освоил практические навыки предусмотренные программой, при их демонстрации </w:t>
            </w:r>
            <w:bookmarkStart w:id="3" w:name="_GoBack"/>
            <w:bookmarkEnd w:id="3"/>
            <w:r>
              <w:rPr>
                <w:kern w:val="0"/>
                <w:lang w:val="ru-RU" w:bidi="ar-SA"/>
              </w:rPr>
              <w:t>полностью или с незначительными погрешностями соблюдал алгоритм и технику выполнения.</w:t>
            </w:r>
          </w:p>
        </w:tc>
      </w:tr>
      <w:tr>
        <w:trPr>
          <w:trHeight w:val="229" w:hRule="atLeast"/>
        </w:trPr>
        <w:tc>
          <w:tcPr>
            <w:tcW w:w="300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691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Оценка «НЕ ЗАЧТЕНО» выставляется, если обучающийся</w:t>
            </w:r>
            <w:r>
              <w:rPr>
                <w:kern w:val="0"/>
                <w:lang w:val="ru-RU" w:bidi="ar-SA"/>
              </w:rPr>
              <w:t xml:space="preserve">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  <w:tr>
        <w:trPr>
          <w:trHeight w:val="151" w:hRule="atLeast"/>
        </w:trPr>
        <w:tc>
          <w:tcPr>
            <w:tcW w:w="300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>проверка историй болезни</w:t>
            </w:r>
          </w:p>
        </w:tc>
        <w:tc>
          <w:tcPr>
            <w:tcW w:w="691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Оценка «ЗАЧТЕНО» выставляется, если обучающийся продемонстрировал правильно или с незначительными погрешностями заполненные истории болезни, обосновал диагностические, лечебные, реабилитационные, профилактические и организационные мероприятия в соответствии с клиническими рекомендациями (протоколами ведения), порядками и стандартами оказания медицинской помощи.</w:t>
            </w:r>
          </w:p>
        </w:tc>
      </w:tr>
      <w:tr>
        <w:trPr>
          <w:trHeight w:val="150" w:hRule="atLeast"/>
        </w:trPr>
        <w:tc>
          <w:tcPr>
            <w:tcW w:w="300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691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Оценка «НЕ ЗАЧТЕНО» выставляется, если обучающийся</w:t>
            </w:r>
            <w:r>
              <w:rPr>
                <w:kern w:val="0"/>
                <w:lang w:val="ru-RU" w:bidi="ar-SA"/>
              </w:rPr>
              <w:t xml:space="preserve"> не смог продемонстрировать заполненные истории болезни или при их ведении допустил существенные ошибки, не смог</w:t>
            </w:r>
            <w:r>
              <w:rPr>
                <w:color w:val="000000"/>
                <w:kern w:val="0"/>
                <w:lang w:val="ru-RU" w:bidi="ar-SA"/>
              </w:rPr>
              <w:t xml:space="preserve"> обосновать проведенные диагностические, лечебные, реабилитационные, профилактические и организационные мероприятия.</w:t>
            </w:r>
          </w:p>
        </w:tc>
      </w:tr>
    </w:tbl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  <w:r>
        <w:br w:type="page"/>
      </w:r>
    </w:p>
    <w:p>
      <w:pPr>
        <w:pStyle w:val="ListParagraph"/>
        <w:numPr>
          <w:ilvl w:val="0"/>
          <w:numId w:val="1"/>
        </w:numPr>
        <w:outlineLvl w:val="0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Оценочные материалы промежуточной аттестации обучающихся.</w:t>
      </w:r>
    </w:p>
    <w:p>
      <w:pPr>
        <w:pStyle w:val="ListParagraph"/>
        <w:numPr>
          <w:ilvl w:val="0"/>
          <w:numId w:val="0"/>
        </w:numPr>
        <w:tabs>
          <w:tab w:val="clear" w:pos="708"/>
          <w:tab w:val="left" w:pos="1935" w:leader="none"/>
        </w:tabs>
        <w:ind w:left="720" w:hanging="0"/>
        <w:outlineLvl w:val="0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</w:p>
    <w:p>
      <w:pPr>
        <w:pStyle w:val="Normal"/>
        <w:ind w:firstLine="708"/>
        <w:rPr>
          <w:color w:val="000000"/>
        </w:rPr>
      </w:pPr>
      <w:r>
        <w:rPr>
          <w:color w:val="000000"/>
        </w:rPr>
        <w:t>Промежуточная аттестация по дисциплине «Ультразвуковая диагностика» проводится в форме зачета в устной форме.</w:t>
      </w:r>
    </w:p>
    <w:p>
      <w:pPr>
        <w:pStyle w:val="ListParagraph"/>
        <w:ind w:left="0" w:firstLine="709"/>
        <w:rPr>
          <w:rFonts w:ascii="Times New Roman" w:hAnsi="Times New Roman"/>
          <w:b/>
          <w:b/>
          <w:i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</w:r>
    </w:p>
    <w:p>
      <w:pPr>
        <w:pStyle w:val="ListParagraph"/>
        <w:ind w:left="0" w:firstLine="709"/>
        <w:jc w:val="center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Критерии, применяемые для оценивания обучающихся на промежуточной аттестации</w:t>
      </w:r>
    </w:p>
    <w:p>
      <w:pPr>
        <w:pStyle w:val="ListParagraph"/>
        <w:ind w:left="0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tbl>
      <w:tblPr>
        <w:tblStyle w:val="a3"/>
        <w:tblW w:w="9356" w:type="dxa"/>
        <w:jc w:val="left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39"/>
        <w:gridCol w:w="6916"/>
      </w:tblGrid>
      <w:tr>
        <w:trPr/>
        <w:tc>
          <w:tcPr>
            <w:tcW w:w="243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 xml:space="preserve">Форма контроля </w:t>
            </w:r>
          </w:p>
        </w:tc>
        <w:tc>
          <w:tcPr>
            <w:tcW w:w="6916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>Критерии оценивания</w:t>
            </w:r>
          </w:p>
        </w:tc>
      </w:tr>
      <w:tr>
        <w:trPr/>
        <w:tc>
          <w:tcPr>
            <w:tcW w:w="243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>устный опрос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6916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b/>
                <w:b/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>
        <w:trPr/>
        <w:tc>
          <w:tcPr>
            <w:tcW w:w="243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6916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>
        <w:trPr/>
        <w:tc>
          <w:tcPr>
            <w:tcW w:w="243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6916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>
        <w:trPr/>
        <w:tc>
          <w:tcPr>
            <w:tcW w:w="243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6916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Оценкой "НЕУДОВЛЕТВОРИТЕЛЬНО"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>
        <w:trPr>
          <w:trHeight w:val="180" w:hRule="atLeast"/>
        </w:trPr>
        <w:tc>
          <w:tcPr>
            <w:tcW w:w="243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>проверка практических навыков</w:t>
            </w:r>
          </w:p>
        </w:tc>
        <w:tc>
          <w:tcPr>
            <w:tcW w:w="6916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 xml:space="preserve">Оценка «ЗАЧТЕНО» выставляется, если обучающийся </w:t>
            </w:r>
            <w:r>
              <w:rPr>
                <w:kern w:val="0"/>
                <w:lang w:val="ru-RU" w:bidi="ar-SA"/>
              </w:rPr>
              <w:t>освоил практические навыки, предусмотренные программой, при их демонстрации полностью иди с незначительными погрешностями соблюдал алгоритм и технику выполнения.</w:t>
            </w:r>
          </w:p>
        </w:tc>
      </w:tr>
      <w:tr>
        <w:trPr>
          <w:trHeight w:val="229" w:hRule="atLeast"/>
        </w:trPr>
        <w:tc>
          <w:tcPr>
            <w:tcW w:w="243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6916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Оценка «НЕ ЗАЧТЕНО» выставляется, если обучающийся</w:t>
            </w:r>
            <w:r>
              <w:rPr>
                <w:kern w:val="0"/>
                <w:lang w:val="ru-RU" w:bidi="ar-SA"/>
              </w:rPr>
              <w:t xml:space="preserve">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</w:tbl>
    <w:p>
      <w:pPr>
        <w:pStyle w:val="ListParagraph"/>
        <w:ind w:left="0" w:firstLine="709"/>
        <w:rPr>
          <w:rFonts w:ascii="Times New Roman" w:hAnsi="Times New Roman"/>
          <w:b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</w:r>
    </w:p>
    <w:p>
      <w:pPr>
        <w:pStyle w:val="ListParagraph"/>
        <w:ind w:left="0" w:firstLine="709"/>
        <w:jc w:val="center"/>
        <w:rPr>
          <w:rFonts w:ascii="Times New Roman" w:hAnsi="Times New Roman"/>
          <w:b/>
          <w:b/>
          <w:i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Вопросы для проверки теоретических знаний по дисциплине по выбору</w:t>
      </w:r>
    </w:p>
    <w:p>
      <w:pPr>
        <w:pStyle w:val="ListParagraph"/>
        <w:ind w:left="0" w:firstLine="709"/>
        <w:jc w:val="center"/>
        <w:rPr>
          <w:rFonts w:ascii="Times New Roman" w:hAnsi="Times New Roman"/>
          <w:b/>
          <w:b/>
          <w:i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Нейросонография в норме, с учётом возраста в т.ч. у недоношенных.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Диагностика пери- интравентрикулярных кровоизлияний.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Гипоксически-ишемические поражения головного мозга (перивентрикулярная лейкомоляциия).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Гидроцефалия (наружная, внутренняя)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Порэнцефалия.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УЗД нейроинфекции (менингоэнцефалите, токсоплазмозе, цитомегалии, микоплазменном менингоэнцефалите, листериозе, краснухе)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УЗД аномалий развития головного мозга (врождённая гидроцефалия, голопрозэнцефалия, агенезия мозолистого тела, синдром Арнольда-Киари, киста Денди-Уокера, лисэнцефалия, полимикрогирия).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Опухоли головного мозга.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Эхоанатомия органов брюшной полости в норме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при остром гепатите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при хроническом гепатите.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при циррозе печени.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при реактивных изменениях печени.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при портальной гипертензии.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при травме печени (ушиб, гематома)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при поликистозе, эхинококкозе печени.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при очагово-деструктивных изменениях паренхимы печени (абсцесс, метастазы, хламидиоз).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желчнокаменной болезни.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аномалии развития желчевыводящих путей.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при очагово-деструктивных изменениях паренхимы селезенки.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Эхоанатомия мочевой системы у новорожденных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аномалии развития почек и мочевых путей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дисплазии тазобедренных суставов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Эхокартина гипоплазии щитовидной железы</w:t>
      </w:r>
    </w:p>
    <w:p>
      <w:pPr>
        <w:pStyle w:val="Normal"/>
        <w:jc w:val="both"/>
        <w:rPr>
          <w:color w:val="000000"/>
          <w:u w:val="single"/>
        </w:rPr>
      </w:pPr>
      <w:r>
        <w:rPr>
          <w:color w:val="000000"/>
          <w:u w:val="single"/>
        </w:rPr>
      </w:r>
    </w:p>
    <w:p>
      <w:pPr>
        <w:pStyle w:val="Normal"/>
        <w:jc w:val="both"/>
        <w:rPr>
          <w:color w:val="000000"/>
          <w:u w:val="single"/>
        </w:rPr>
      </w:pPr>
      <w:r>
        <w:rPr>
          <w:color w:val="000000"/>
          <w:u w:val="single"/>
        </w:rPr>
      </w:r>
    </w:p>
    <w:p>
      <w:pPr>
        <w:pStyle w:val="Normal"/>
        <w:ind w:firstLine="709"/>
        <w:jc w:val="center"/>
        <w:rPr>
          <w:b/>
          <w:b/>
          <w:i/>
          <w:i/>
          <w:color w:val="000000" w:themeColor="text1"/>
        </w:rPr>
      </w:pPr>
      <w:r>
        <w:rPr>
          <w:b/>
          <w:i/>
          <w:color w:val="000000" w:themeColor="text1"/>
        </w:rPr>
        <w:t xml:space="preserve">Типовые практические задания для проверки </w:t>
      </w:r>
    </w:p>
    <w:p>
      <w:pPr>
        <w:pStyle w:val="Normal"/>
        <w:ind w:firstLine="709"/>
        <w:jc w:val="center"/>
        <w:rPr>
          <w:b/>
          <w:b/>
          <w:i/>
          <w:i/>
          <w:color w:val="000000" w:themeColor="text1"/>
        </w:rPr>
      </w:pPr>
      <w:r>
        <w:rPr>
          <w:b/>
          <w:i/>
          <w:color w:val="000000" w:themeColor="text1"/>
        </w:rPr>
        <w:t>сформированных умений и навыков</w:t>
      </w:r>
    </w:p>
    <w:p>
      <w:pPr>
        <w:pStyle w:val="Normal"/>
        <w:ind w:firstLine="709"/>
        <w:jc w:val="center"/>
        <w:rPr>
          <w:b/>
          <w:b/>
          <w:i/>
          <w:i/>
          <w:color w:val="000000" w:themeColor="text1"/>
        </w:rPr>
      </w:pPr>
      <w:r>
        <w:rPr>
          <w:b/>
          <w:i/>
          <w:color w:val="000000" w:themeColor="text1"/>
        </w:rPr>
      </w:r>
    </w:p>
    <w:p>
      <w:pPr>
        <w:pStyle w:val="ListParagraph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головного мозга новорожденного 30 недель</w:t>
      </w:r>
    </w:p>
    <w:p>
      <w:pPr>
        <w:pStyle w:val="ListParagraph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головного мозга новорожденного с гидроцефалией</w:t>
      </w:r>
    </w:p>
    <w:p>
      <w:pPr>
        <w:pStyle w:val="ListParagraph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головного мозга новорожденного с гипоксическими изменениями</w:t>
      </w:r>
    </w:p>
    <w:p>
      <w:pPr>
        <w:pStyle w:val="ListParagraph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головного мозга новорожденного с аномалией развития</w:t>
      </w:r>
    </w:p>
    <w:p>
      <w:pPr>
        <w:pStyle w:val="ListParagraph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печени.</w:t>
      </w:r>
    </w:p>
    <w:p>
      <w:pPr>
        <w:pStyle w:val="ListParagraph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желчного пузыря.</w:t>
      </w:r>
    </w:p>
    <w:p>
      <w:pPr>
        <w:pStyle w:val="ListParagraph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поджелудочной железы.</w:t>
      </w:r>
    </w:p>
    <w:p>
      <w:pPr>
        <w:pStyle w:val="ListParagraph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селезенки.</w:t>
      </w:r>
    </w:p>
    <w:p>
      <w:pPr>
        <w:pStyle w:val="ListParagraph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Оцените представленные эхограммы тазобедренных суставов.</w:t>
      </w:r>
    </w:p>
    <w:p>
      <w:pPr>
        <w:pStyle w:val="ListParagraph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Оценить результаты ультразвукового исследования мочевой системы.</w:t>
      </w:r>
    </w:p>
    <w:p>
      <w:pPr>
        <w:pStyle w:val="ListParagraph"/>
        <w:widowControl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Оценить результаты ультразвукового исследования сердечно-сосудистой системы.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Организация и порядок оказания медицинской помощи новорождённым; - санитарно-эпидемиологический режим работы лечебных учреждений для новорождённых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Маршрутизация новорожденного при выявлении отклонений в состоянии здоровья.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Чем осуществляется объективный контроль за состояние здоровья плода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Как осуществляется транспортировка новорожденного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Какими методами можно оценить эффективность реабилитации новорожденного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Роль различных методов диагностики для профилактики и сохранения здоровья новорожденного.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Маршрутизация в неонатологии. Этапы, организация.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Как осуществляется экспертиза качества оказания помощи новорожденным в вашем подразделении.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Принципы проведения лечебно-эвакуационных мероприятий в условиях чрезвычайной ситуации, в экстремальных условиях эпидемий, в очагах пожара.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Какие ультразвуковые исследования включены в профилактические медицинские осмотры детям в 15 лет.</w:t>
      </w:r>
    </w:p>
    <w:p>
      <w:pPr>
        <w:pStyle w:val="ListParagraph"/>
        <w:widowControl/>
        <w:ind w:left="720" w:hanging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jc w:val="center"/>
        <w:rPr>
          <w:b/>
          <w:b/>
          <w:i/>
          <w:i/>
          <w:color w:val="000000" w:themeColor="text1"/>
        </w:rPr>
      </w:pPr>
      <w:r>
        <w:rPr>
          <w:b/>
          <w:i/>
          <w:color w:val="000000" w:themeColor="text1"/>
        </w:rPr>
        <w:t>Эталоны решения типовых практических заданий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нейросонографии отмечается увеличение размеров затылочных рогов, наличие полости прозрачной перегородки и полости Верге.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нейросонографии отмечается увеличение размеров боковых желудочков, 3 и 4-го желудочков, межполушарной щели и подоболочечного пространства.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нейросонографии отмечается повышение эхогенности паренхимы в перивентрикулярной области, повышение ИР в ПМА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нейросонографии отмечается неровность контуров боковых желудочков, отсутствие гипоэхогенной структуры мозжечка. В дальнейшем риск развития эписиндрома.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ультразвуковом исследовании печени размеры соответствуют норме, паренхима, сосуды, протоки не изменены. Заключение: органической патологии не выявлено.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ультразвуковом исследовании желчного пузыря в просвете гиперэхогенное образование с аккустической тенью, перемещается. Заключение: УЗ признаки желчнокаменной болезни.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 ультразвуковом исследовании поджелудочной железы размеры соответствуют норме, эхогенность паренхимы умеренно повышена. Заключение: Диффузные изменения паренхимы поджелудочной железы.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ультразвуковом исследовании селезенки размеры в норме, эхогенность паренхимы средняя, в паренхиме множественные гиперэхогенные участки с аккустической тенью. Следствие ранее перенесенного специфического инфекционного заболевания.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ультразвуковом исследовании тазобедренных суставов ребенка в 1 месяц, отмечается увеличение углов, ядер окостенения нет. Заключение: Тип 2А, функциональная незрелость.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При ультразвуковом исследовании почек: размеры левой почки увеличены, положение типичное, выявлено утолщение стенок лоханки и чашечек, что требует исключения пиелонефрита, рекомендовано контроль анализов мочи.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 ультразвуковом исследовании сердца: размеры полостей в норме, в области межпредсердной перегородки дефект 2,0 мм со сбросом крови. Заключение: Открытое овальное окно.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Вы выезжаете для оказания лечебно-консультативной помощи ребенку в составе выездной  реанимационной бригады, приготовьте необходимое оборудование.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Рассчитайте частоту встречаемости вентрикуломегалии у детей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Вы получили описание УЗД развития плода – рассчитайте прогноз для здоровья плода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Проведите транспортировку новорожденного в отделении патологи новорожденных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У ребенка выявлен синдром Эдвардса, определите прогноз для жизни.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Как вы оцениваете состояние здоровья плода по представленной КТИГ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 выявлении врожденной патологии развития плода определите тактику действия неонатолога.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Проведите экспертизу качества оказания диагностической помощи новорожденному. 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отделении возник пожар, проведите план эвакуации новорожденных, матерей и персонала.</w:t>
      </w:r>
    </w:p>
    <w:p>
      <w:pPr>
        <w:pStyle w:val="ListParagraph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Ультразвуковое исследование органов брюшной полости (комплексное), ультразвуковое исследование почек</w:t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12"/>
        <w:tblW w:w="100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93"/>
        <w:gridCol w:w="2411"/>
        <w:gridCol w:w="4963"/>
        <w:gridCol w:w="2237"/>
      </w:tblGrid>
      <w:tr>
        <w:trPr/>
        <w:tc>
          <w:tcPr>
            <w:tcW w:w="39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№</w:t>
            </w:r>
          </w:p>
        </w:tc>
        <w:tc>
          <w:tcPr>
            <w:tcW w:w="241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Проверяемая компетенция</w:t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Дескриптор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Контрольно-оценочное средство (номер вопроса/практического задания)</w:t>
            </w:r>
          </w:p>
        </w:tc>
      </w:tr>
      <w:tr>
        <w:trPr>
          <w:trHeight w:val="2485" w:hRule="atLeast"/>
        </w:trPr>
        <w:tc>
          <w:tcPr>
            <w:tcW w:w="39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ПК-1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Знать: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color w:val="000000"/>
                <w:kern w:val="0"/>
                <w:lang w:val="ru-RU" w:bidi="ar-SA"/>
              </w:rPr>
              <w:t>ранние отклонении в состоянии здоровья детей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Вопрос 1-11</w:t>
            </w:r>
          </w:p>
        </w:tc>
      </w:tr>
      <w:tr>
        <w:trPr>
          <w:trHeight w:val="2485" w:hRule="atLeast"/>
        </w:trPr>
        <w:tc>
          <w:tcPr>
            <w:tcW w:w="39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 xml:space="preserve">Уметь: </w:t>
            </w:r>
            <w:r>
              <w:rPr>
                <w:color w:val="000000"/>
                <w:kern w:val="0"/>
                <w:lang w:val="ru-RU" w:bidi="ar-SA"/>
              </w:rPr>
              <w:t xml:space="preserve">выявлять </w:t>
            </w:r>
            <w:r>
              <w:rPr>
                <w:color w:val="000000"/>
                <w:kern w:val="0"/>
                <w:lang w:val="ru-RU" w:bidi="ar-SA"/>
              </w:rPr>
              <w:t>ранние отклонения параметров по данным ультразвукового исследования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Вопрос 1-11</w:t>
            </w:r>
          </w:p>
        </w:tc>
      </w:tr>
      <w:tr>
        <w:trPr>
          <w:trHeight w:val="2485" w:hRule="atLeast"/>
        </w:trPr>
        <w:tc>
          <w:tcPr>
            <w:tcW w:w="39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 xml:space="preserve">Владеть: применять различные методики для лучшей визуализации при проведении </w:t>
            </w:r>
            <w:r>
              <w:rPr>
                <w:color w:val="000000"/>
                <w:kern w:val="0"/>
                <w:lang w:val="ru-RU" w:bidi="ar-SA"/>
              </w:rPr>
              <w:t>ультразвукового</w:t>
            </w:r>
            <w:r>
              <w:rPr>
                <w:color w:val="000000"/>
                <w:kern w:val="0"/>
                <w:lang w:val="ru-RU" w:bidi="ar-SA"/>
              </w:rPr>
              <w:t xml:space="preserve"> исследования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Вопрос 1-11</w:t>
            </w:r>
          </w:p>
        </w:tc>
      </w:tr>
      <w:tr>
        <w:trPr>
          <w:trHeight w:val="1105" w:hRule="atLeast"/>
        </w:trPr>
        <w:tc>
          <w:tcPr>
            <w:tcW w:w="39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ПК -2 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</w:t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Знать: организацию и порядок проведения профилактических медицинских осмотров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Вопрос 21</w:t>
            </w:r>
          </w:p>
        </w:tc>
      </w:tr>
      <w:tr>
        <w:trPr>
          <w:trHeight w:val="1105" w:hRule="atLeast"/>
        </w:trPr>
        <w:tc>
          <w:tcPr>
            <w:tcW w:w="39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 xml:space="preserve">Уметь: организовать проведение ультразвукового исследования в кабинете 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Вопрос 21</w:t>
            </w:r>
          </w:p>
        </w:tc>
      </w:tr>
      <w:tr>
        <w:trPr>
          <w:trHeight w:val="1105" w:hRule="atLeast"/>
        </w:trPr>
        <w:tc>
          <w:tcPr>
            <w:tcW w:w="39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firstLine="7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Владеть: ультразвуковыми методами исследования включенными в медицинский осмотр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Вопрос 21</w:t>
            </w:r>
          </w:p>
        </w:tc>
      </w:tr>
      <w:tr>
        <w:trPr/>
        <w:tc>
          <w:tcPr>
            <w:tcW w:w="39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ПК-5: готовность к определению у пациентов патологических состояний, симптомов, синдромовзаболеваний, нозологических форм в соответствии с Международной статистической классификацией болезней и проблем, связанных со здоровьем</w:t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Знать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классификацию основных заболеваний в соответствии с Международной статистической классификацией болезней и проблем, связанных со здоровьем, методы их диагностики и диагностические критерии.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both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вопросы № 1-22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Уметь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определять патологические изменения при использовании диагностических методов исследования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практические задания № 1-11.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Владеть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методами оценки патологических состояний, симптомов, синдромов заболеваний.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практические задания № 1-4, 6-11.</w:t>
            </w:r>
          </w:p>
        </w:tc>
      </w:tr>
      <w:tr>
        <w:trPr/>
        <w:tc>
          <w:tcPr>
            <w:tcW w:w="393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szCs w:val="27"/>
                <w:shd w:fill="FFFFFF" w:val="clear"/>
                <w:lang w:val="ru-RU" w:bidi="ar-SA"/>
              </w:rPr>
              <w:t>ПК-6 готовность к применению методов ультразвуковой диагностики и интерпретации их результатов</w:t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Знать: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color w:val="000000"/>
                <w:kern w:val="0"/>
                <w:lang w:val="ru-RU" w:bidi="ar-SA"/>
              </w:rPr>
              <w:t>эффективность методов функциональной диагностики в качестве объективизации оценки результатов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Вопрос 1-11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Уметь: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color w:val="000000"/>
                <w:kern w:val="0"/>
                <w:lang w:val="ru-RU" w:bidi="ar-SA"/>
              </w:rPr>
              <w:t xml:space="preserve">применять различные методики для лучшей визуализации при проведении </w:t>
            </w:r>
            <w:r>
              <w:rPr>
                <w:color w:val="000000"/>
                <w:kern w:val="0"/>
                <w:lang w:val="ru-RU" w:bidi="ar-SA"/>
              </w:rPr>
              <w:t xml:space="preserve">ультразвукового </w:t>
            </w:r>
            <w:r>
              <w:rPr>
                <w:color w:val="000000"/>
                <w:kern w:val="0"/>
                <w:lang w:val="ru-RU" w:bidi="ar-SA"/>
              </w:rPr>
              <w:t>исследования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Задание1-11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Владеть: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color w:val="000000"/>
                <w:kern w:val="0"/>
                <w:lang w:val="ru-RU" w:bidi="ar-SA"/>
              </w:rPr>
              <w:t>методами ультразвукового исследования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Задание 1-11</w:t>
            </w:r>
          </w:p>
        </w:tc>
      </w:tr>
      <w:tr>
        <w:trPr/>
        <w:tc>
          <w:tcPr>
            <w:tcW w:w="393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ПК-7 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-SA"/>
              </w:rPr>
              <w:t>Знать: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bidi="ar-SA"/>
              </w:rPr>
              <w:t>Роль ультразвуковой диагностики в системе охраны здоровья беременной и плода</w:t>
            </w:r>
            <w:r>
              <w:rPr>
                <w:color w:val="000000"/>
                <w:kern w:val="0"/>
                <w:sz w:val="24"/>
                <w:szCs w:val="24"/>
                <w:lang w:val="ru-RU" w:bidi="ar-SA"/>
              </w:rPr>
              <w:t xml:space="preserve"> 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Вопрос 14, 16, 17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-SA"/>
              </w:rPr>
              <w:t xml:space="preserve">Уметь: 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bidi="ar-SA"/>
              </w:rPr>
              <w:t xml:space="preserve">Оценить результаты 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bidi="ar-SA"/>
              </w:rPr>
              <w:t xml:space="preserve">ультразвукового исследования 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bidi="ar-SA"/>
              </w:rPr>
              <w:t>беременной для прогноза здоровья плода</w:t>
            </w:r>
            <w:r>
              <w:rPr>
                <w:color w:val="000000"/>
                <w:kern w:val="0"/>
                <w:sz w:val="24"/>
                <w:szCs w:val="24"/>
                <w:lang w:val="ru-RU" w:bidi="ar-SA"/>
              </w:rPr>
              <w:t xml:space="preserve"> 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Задание14, 16, 17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-SA"/>
              </w:rPr>
              <w:t>Владеть:</w:t>
            </w:r>
            <w:r>
              <w:rPr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bidi="ar-SA"/>
              </w:rPr>
              <w:t xml:space="preserve">Методикой оценки риска здоровья плода на основе заключения 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bidi="ar-SA"/>
              </w:rPr>
              <w:t xml:space="preserve">ультразвукового  </w:t>
            </w:r>
            <w:r>
              <w:rPr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lang w:val="ru-RU" w:bidi="ar-SA"/>
              </w:rPr>
              <w:t>исследования беременной на различных сроках гестации</w:t>
            </w:r>
            <w:r>
              <w:rPr>
                <w:color w:val="000000"/>
                <w:kern w:val="0"/>
                <w:sz w:val="24"/>
                <w:szCs w:val="24"/>
                <w:lang w:val="ru-RU" w:bidi="ar-SA"/>
              </w:rPr>
              <w:t xml:space="preserve"> 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Задание 14, 16, 17</w:t>
            </w:r>
          </w:p>
        </w:tc>
      </w:tr>
      <w:tr>
        <w:trPr/>
        <w:tc>
          <w:tcPr>
            <w:tcW w:w="393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ПК-8 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</w:t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Знать: Маршрутизацию новорожденного при выявлении отклонений в состоянии здоровья новорожденного при проведении различных функциональных методов исследования.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Вопрос 18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Уметь: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color w:val="000000"/>
                <w:kern w:val="0"/>
                <w:lang w:val="ru-RU" w:bidi="ar-SA"/>
              </w:rPr>
              <w:t>использовать информацию о состоянии здоровья населения и деятельности лечебно-профилактических учреждений для предложения мероприятий при разработке и реализации программ и проектов, направленных на улучшение здоровья населения на основе прогнозирования и научной превенции.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Задание18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Владеть: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color w:val="000000"/>
                <w:kern w:val="0"/>
                <w:lang w:val="ru-RU" w:bidi="ar-SA"/>
              </w:rPr>
              <w:t>методами вычисления и анализа основных показателей здоровья населения на индивидуальном и групповом уровнях, по данным заболеваемости.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Задание 18</w:t>
            </w:r>
          </w:p>
        </w:tc>
      </w:tr>
      <w:tr>
        <w:trPr/>
        <w:tc>
          <w:tcPr>
            <w:tcW w:w="393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ПК- 9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color w:val="000000"/>
                <w:kern w:val="0"/>
                <w:lang w:val="ru-RU" w:bidi="ar-SA"/>
              </w:rPr>
              <w:tab/>
              <w:t>готовность к участию в оценке качества оказания медицинской помощи с использованием основных медико-статистических показателей</w:t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Знать: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color w:val="000000"/>
                <w:kern w:val="0"/>
                <w:lang w:val="ru-RU" w:bidi="ar-SA"/>
              </w:rPr>
              <w:t>вопросы организации медицинской помощи населению; -организацию экспертизы качества медицинской помощи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Вопрос 19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Уметь: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color w:val="000000"/>
                <w:kern w:val="0"/>
                <w:lang w:val="ru-RU" w:bidi="ar-SA"/>
              </w:rPr>
              <w:t>анализировать деятельность (организацию, качество и эффективность) организаций здравоохранения в частности результатов исследований.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Задание19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Владеть: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color w:val="000000"/>
                <w:kern w:val="0"/>
                <w:lang w:val="ru-RU" w:bidi="ar-SA"/>
              </w:rPr>
              <w:t>методами расчета и анализа основных демографических показателей, используемых учреждениями здравоохранения для оценки здоровья населения, планирования деятельности медицинских учреждений.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Задание 19</w:t>
            </w:r>
          </w:p>
        </w:tc>
      </w:tr>
      <w:tr>
        <w:trPr/>
        <w:tc>
          <w:tcPr>
            <w:tcW w:w="393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ПК-10 готовность к организации медицинской помощи при чрезвычайных ситуациях, в том числе медицинской эвакуации</w:t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Принципы проведения лечебно-эвакуационных мероприятий в условиях чрезвычайной ситуации, в экстремальных условиях эпидемий, в очагах пожара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Вопрос 20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Оказывать первую врачебную помощь в чрезвычайных ситуациях.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Задание20</w:t>
            </w:r>
          </w:p>
        </w:tc>
      </w:tr>
      <w:tr>
        <w:trPr/>
        <w:tc>
          <w:tcPr>
            <w:tcW w:w="393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41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496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</w:rPr>
            </w:pPr>
            <w:r>
              <w:rPr>
                <w:color w:val="000000"/>
                <w:kern w:val="0"/>
                <w:lang w:val="ru-RU" w:bidi="ar-SA"/>
              </w:rPr>
              <w:t>Алгоритмами оказания первой врачебной помощи пострадавшим при чрезвычайной ситуации</w:t>
            </w:r>
          </w:p>
        </w:tc>
        <w:tc>
          <w:tcPr>
            <w:tcW w:w="223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Задание 20</w:t>
            </w:r>
          </w:p>
        </w:tc>
      </w:tr>
    </w:tbl>
    <w:p>
      <w:pPr>
        <w:pStyle w:val="Normal"/>
        <w:rPr>
          <w:color w:val="000000"/>
        </w:rPr>
      </w:pPr>
      <w:r>
        <w:rPr/>
      </w:r>
    </w:p>
    <w:sectPr>
      <w:footerReference w:type="default" r:id="rId27"/>
      <w:type w:val="nextPage"/>
      <w:pgSz w:w="11906" w:h="16838"/>
      <w:pgMar w:left="1134" w:right="567" w:header="0" w:top="567" w:footer="709" w:bottom="766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Segoe UI">
    <w:charset w:val="cc"/>
    <w:family w:val="roman"/>
    <w:pitch w:val="variable"/>
  </w:font>
  <w:font w:name="NTTimes/Cyrillic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Verdana">
    <w:charset w:val="cc"/>
    <w:family w:val="roman"/>
    <w:pitch w:val="variable"/>
  </w:font>
  <w:font w:name="Arial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026604243"/>
    </w:sdtPr>
    <w:sdtContent>
      <w:p>
        <w:pPr>
          <w:pStyle w:val="Style25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Style25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360"/>
        </w:tabs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360"/>
        </w:tabs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360"/>
        </w:tabs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360"/>
        </w:tabs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360"/>
        </w:tabs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1"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2"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3"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4"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</w:numbering>
</file>

<file path=word/settings.xml><?xml version="1.0" encoding="utf-8"?>
<w:settings xmlns:w="http://schemas.openxmlformats.org/wordprocessingml/2006/main">
  <w:zoom w:percent="89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968cc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0"/>
    <w:uiPriority w:val="9"/>
    <w:qFormat/>
    <w:rsid w:val="007e7400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7e7400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  <w:lang w:eastAsia="ru-RU"/>
    </w:rPr>
  </w:style>
  <w:style w:type="character" w:styleId="Style13">
    <w:name w:val="Интернет-ссылка"/>
    <w:basedOn w:val="DefaultParagraphFont"/>
    <w:uiPriority w:val="99"/>
    <w:unhideWhenUsed/>
    <w:rsid w:val="007e7400"/>
    <w:rPr>
      <w:color w:val="0563C1" w:themeColor="hyperlink"/>
      <w:u w:val="single"/>
    </w:rPr>
  </w:style>
  <w:style w:type="character" w:styleId="Style14" w:customStyle="1">
    <w:name w:val="Верхний колонтитул Знак"/>
    <w:basedOn w:val="DefaultParagraphFont"/>
    <w:link w:val="a8"/>
    <w:uiPriority w:val="99"/>
    <w:qFormat/>
    <w:rsid w:val="007e740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5" w:customStyle="1">
    <w:name w:val="Нижний колонтитул Знак"/>
    <w:basedOn w:val="DefaultParagraphFont"/>
    <w:link w:val="aa"/>
    <w:uiPriority w:val="99"/>
    <w:qFormat/>
    <w:rsid w:val="007e740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6" w:customStyle="1">
    <w:name w:val="Текст выноски Знак"/>
    <w:basedOn w:val="DefaultParagraphFont"/>
    <w:link w:val="ac"/>
    <w:uiPriority w:val="99"/>
    <w:semiHidden/>
    <w:qFormat/>
    <w:rsid w:val="002f7b4a"/>
    <w:rPr>
      <w:rFonts w:ascii="Segoe UI" w:hAnsi="Segoe UI" w:eastAsia="Times New Roman" w:cs="Segoe UI"/>
      <w:sz w:val="18"/>
      <w:szCs w:val="18"/>
      <w:lang w:eastAsia="ru-RU"/>
    </w:rPr>
  </w:style>
  <w:style w:type="character" w:styleId="Style17" w:customStyle="1">
    <w:name w:val="Основной текст Знак"/>
    <w:basedOn w:val="DefaultParagraphFont"/>
    <w:link w:val="af"/>
    <w:uiPriority w:val="99"/>
    <w:qFormat/>
    <w:rsid w:val="003d5f5a"/>
    <w:rPr>
      <w:rFonts w:ascii="NTTimes/Cyrillic" w:hAnsi="NTTimes/Cyrillic" w:eastAsia="Times New Roman" w:cs="Times New Roman"/>
      <w:sz w:val="20"/>
      <w:szCs w:val="20"/>
      <w:lang w:eastAsia="ru-RU"/>
    </w:rPr>
  </w:style>
  <w:style w:type="character" w:styleId="2" w:customStyle="1">
    <w:name w:val="Основной текст с отступом 2 Знак"/>
    <w:basedOn w:val="DefaultParagraphFont"/>
    <w:link w:val="2"/>
    <w:qFormat/>
    <w:rsid w:val="003d5f5a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link w:val="af0"/>
    <w:uiPriority w:val="99"/>
    <w:rsid w:val="003d5f5a"/>
    <w:pPr>
      <w:overflowPunct w:val="true"/>
      <w:spacing w:before="0" w:after="120"/>
      <w:textAlignment w:val="baseline"/>
    </w:pPr>
    <w:rPr>
      <w:rFonts w:ascii="NTTimes/Cyrillic" w:hAnsi="NTTimes/Cyrillic"/>
      <w:sz w:val="20"/>
      <w:szCs w:val="20"/>
    </w:rPr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qFormat/>
    <w:rsid w:val="007e7400"/>
    <w:pPr>
      <w:spacing w:beforeAutospacing="1" w:afterAutospacing="1"/>
      <w:jc w:val="both"/>
    </w:pPr>
    <w:rPr>
      <w:rFonts w:ascii="Verdana" w:hAnsi="Verdana"/>
      <w:sz w:val="17"/>
      <w:szCs w:val="17"/>
    </w:rPr>
  </w:style>
  <w:style w:type="paragraph" w:styleId="ListParagraph">
    <w:name w:val="List Paragraph"/>
    <w:basedOn w:val="Normal"/>
    <w:uiPriority w:val="34"/>
    <w:qFormat/>
    <w:rsid w:val="007e7400"/>
    <w:pPr>
      <w:widowControl w:val="false"/>
      <w:spacing w:before="0" w:after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paragraph" w:styleId="TOCHeading">
    <w:name w:val="TOC Heading"/>
    <w:basedOn w:val="1"/>
    <w:next w:val="Normal"/>
    <w:uiPriority w:val="39"/>
    <w:unhideWhenUsed/>
    <w:qFormat/>
    <w:rsid w:val="007e7400"/>
    <w:pPr>
      <w:spacing w:lineRule="auto" w:line="259"/>
    </w:pPr>
    <w:rPr/>
  </w:style>
  <w:style w:type="paragraph" w:styleId="12">
    <w:name w:val="TOC 1"/>
    <w:basedOn w:val="Normal"/>
    <w:next w:val="Normal"/>
    <w:autoRedefine/>
    <w:uiPriority w:val="39"/>
    <w:unhideWhenUsed/>
    <w:rsid w:val="007e7400"/>
    <w:pPr>
      <w:spacing w:before="0" w:after="100"/>
    </w:pPr>
    <w:rPr/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9"/>
    <w:uiPriority w:val="99"/>
    <w:unhideWhenUsed/>
    <w:rsid w:val="007e7400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link w:val="ab"/>
    <w:uiPriority w:val="99"/>
    <w:unhideWhenUsed/>
    <w:rsid w:val="007e7400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link w:val="ad"/>
    <w:uiPriority w:val="99"/>
    <w:semiHidden/>
    <w:unhideWhenUsed/>
    <w:qFormat/>
    <w:rsid w:val="002f7b4a"/>
    <w:pPr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a502d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20"/>
    <w:qFormat/>
    <w:rsid w:val="003d5f5a"/>
    <w:pPr>
      <w:spacing w:lineRule="auto" w:line="360"/>
      <w:ind w:left="284" w:hanging="0"/>
    </w:pPr>
    <w:rPr>
      <w:sz w:val="28"/>
      <w:szCs w:val="20"/>
    </w:rPr>
  </w:style>
  <w:style w:type="paragraph" w:styleId="Style26">
    <w:name w:val="Содержимое таблицы"/>
    <w:basedOn w:val="Normal"/>
    <w:qFormat/>
    <w:pPr>
      <w:widowControl w:val="false"/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7e7400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">
    <w:name w:val="Сетка таблицы1"/>
    <w:basedOn w:val="a1"/>
    <w:rsid w:val="00bc37f0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footer" Target="footer1.xml"/><Relationship Id="rId28" Type="http://schemas.openxmlformats.org/officeDocument/2006/relationships/numbering" Target="numbering.xml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<Relationship Id="rId3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53265-A9B8-41F7-8156-FE72CD174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LibreOffice/7.0.1.2$Windows_x86 LibreOffice_project/7cbcfc562f6eb6708b5ff7d7397325de9e764452</Application>
  <Pages>33</Pages>
  <Words>5631</Words>
  <Characters>40259</Characters>
  <CharactersWithSpaces>46940</CharactersWithSpaces>
  <Paragraphs>900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2019-12-26T08:47:00Z</dcterms:created>
  <dc:creator>home</dc:creator>
  <dc:description/>
  <dc:language>ru-RU</dc:language>
  <cp:lastModifiedBy/>
  <dcterms:modified xsi:type="dcterms:W3CDTF">2022-02-05T02:03:03Z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