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9C1571" w:rsidP="00516727">
      <w:pPr>
        <w:spacing w:after="0" w:line="240" w:lineRule="auto"/>
        <w:jc w:val="center"/>
        <w:rPr>
          <w:rFonts w:ascii="Times New Roman" w:hAnsi="Times New Roman"/>
          <w:i/>
          <w:caps/>
          <w:color w:val="000000"/>
          <w:sz w:val="28"/>
          <w:szCs w:val="28"/>
        </w:rPr>
      </w:pPr>
      <w:r>
        <w:rPr>
          <w:rFonts w:ascii="Times New Roman" w:hAnsi="Times New Roman"/>
          <w:i/>
          <w:caps/>
          <w:color w:val="000000"/>
          <w:sz w:val="28"/>
          <w:szCs w:val="28"/>
        </w:rPr>
        <w:t>06</w:t>
      </w:r>
      <w:r w:rsidR="00516727" w:rsidRPr="00516727">
        <w:rPr>
          <w:rFonts w:ascii="Times New Roman" w:hAnsi="Times New Roman"/>
          <w:i/>
          <w:caps/>
          <w:color w:val="000000"/>
          <w:sz w:val="28"/>
          <w:szCs w:val="28"/>
        </w:rPr>
        <w:t xml:space="preserve">.06.01 </w:t>
      </w:r>
      <w:r>
        <w:rPr>
          <w:rFonts w:ascii="Times New Roman" w:hAnsi="Times New Roman"/>
          <w:i/>
          <w:caps/>
          <w:color w:val="000000"/>
          <w:sz w:val="28"/>
          <w:szCs w:val="28"/>
        </w:rPr>
        <w:t>БИОЛОГИЧЕСКИЕ НАУКИ</w:t>
      </w: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профиль </w:t>
      </w:r>
      <w:r w:rsidR="009C1571">
        <w:rPr>
          <w:rFonts w:ascii="Times New Roman" w:hAnsi="Times New Roman"/>
          <w:i/>
          <w:caps/>
          <w:color w:val="000000"/>
          <w:sz w:val="28"/>
          <w:szCs w:val="28"/>
        </w:rPr>
        <w:t>ФАРМАЦЕВТИЧЕСКАЯ ХИМИЯ, ФАРМАКОГНОЗИЯ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w:t>
      </w:r>
      <w:r w:rsidR="009C1571">
        <w:rPr>
          <w:rFonts w:ascii="Times New Roman" w:hAnsi="Times New Roman"/>
          <w:color w:val="000000"/>
          <w:sz w:val="28"/>
          <w:szCs w:val="28"/>
        </w:rPr>
        <w:t>ания по направлению подготовки 06</w:t>
      </w:r>
      <w:r w:rsidRPr="00516727">
        <w:rPr>
          <w:rFonts w:ascii="Times New Roman" w:hAnsi="Times New Roman"/>
          <w:color w:val="000000"/>
          <w:sz w:val="28"/>
          <w:szCs w:val="28"/>
        </w:rPr>
        <w:t>.06.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w:t>
      </w:r>
      <w:r w:rsidR="009C1571">
        <w:rPr>
          <w:rFonts w:ascii="Times New Roman" w:hAnsi="Times New Roman"/>
          <w:color w:val="000000"/>
          <w:sz w:val="28"/>
          <w:szCs w:val="28"/>
        </w:rPr>
        <w:t>Биологические науки</w:t>
      </w:r>
      <w:r w:rsidRPr="00516727">
        <w:rPr>
          <w:rFonts w:ascii="Times New Roman" w:hAnsi="Times New Roman"/>
          <w:color w:val="000000"/>
          <w:sz w:val="28"/>
          <w:szCs w:val="28"/>
        </w:rPr>
        <w:t xml:space="preserve">, профиль </w:t>
      </w:r>
      <w:r w:rsidR="009C1571">
        <w:rPr>
          <w:rFonts w:ascii="Times New Roman" w:hAnsi="Times New Roman"/>
          <w:color w:val="000000"/>
          <w:sz w:val="28"/>
          <w:szCs w:val="28"/>
        </w:rPr>
        <w:t>Фармацевтическая химия, фармакогнозия</w:t>
      </w:r>
      <w:bookmarkStart w:id="0" w:name="_GoBack"/>
      <w:bookmarkEnd w:id="0"/>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4B268F">
        <w:rPr>
          <w:rFonts w:ascii="Times New Roman" w:hAnsi="Times New Roman"/>
          <w:color w:val="000000"/>
          <w:sz w:val="28"/>
          <w:szCs w:val="28"/>
        </w:rPr>
        <w:t>Б</w:t>
      </w:r>
      <w:r>
        <w:rPr>
          <w:rFonts w:ascii="Times New Roman" w:hAnsi="Times New Roman"/>
          <w:color w:val="000000"/>
          <w:sz w:val="28"/>
          <w:szCs w:val="28"/>
        </w:rPr>
        <w:t>ОУ ВО ОрГМУ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w:t>
      </w:r>
      <w:r w:rsidR="004B268F">
        <w:rPr>
          <w:rFonts w:ascii="Times New Roman" w:hAnsi="Times New Roman"/>
          <w:color w:val="000000"/>
          <w:sz w:val="28"/>
          <w:szCs w:val="28"/>
        </w:rPr>
        <w:t>___</w:t>
      </w:r>
      <w:r w:rsidRPr="00516727">
        <w:rPr>
          <w:rFonts w:ascii="Times New Roman" w:hAnsi="Times New Roman"/>
          <w:color w:val="000000"/>
          <w:sz w:val="28"/>
          <w:szCs w:val="28"/>
        </w:rPr>
        <w:t xml:space="preserve"> от </w:t>
      </w:r>
      <w:r w:rsidR="004B268F">
        <w:rPr>
          <w:rFonts w:ascii="Times New Roman" w:hAnsi="Times New Roman"/>
          <w:color w:val="000000"/>
          <w:sz w:val="28"/>
          <w:szCs w:val="28"/>
        </w:rPr>
        <w:t>_</w:t>
      </w:r>
      <w:r w:rsidRPr="00516727">
        <w:rPr>
          <w:rFonts w:ascii="Times New Roman" w:hAnsi="Times New Roman"/>
          <w:color w:val="000000"/>
          <w:sz w:val="28"/>
          <w:szCs w:val="28"/>
        </w:rPr>
        <w:t xml:space="preserve"> </w:t>
      </w:r>
      <w:r w:rsidR="004B268F">
        <w:rPr>
          <w:rFonts w:ascii="Times New Roman" w:hAnsi="Times New Roman"/>
          <w:color w:val="000000"/>
          <w:sz w:val="28"/>
          <w:szCs w:val="28"/>
        </w:rPr>
        <w:t>_________</w:t>
      </w:r>
      <w:r w:rsidRPr="00516727">
        <w:rPr>
          <w:rFonts w:ascii="Times New Roman" w:hAnsi="Times New Roman"/>
          <w:color w:val="000000"/>
          <w:sz w:val="28"/>
          <w:szCs w:val="28"/>
        </w:rPr>
        <w:t xml:space="preserve"> 20</w:t>
      </w:r>
      <w:r w:rsidR="004B268F">
        <w:rPr>
          <w:rFonts w:ascii="Times New Roman" w:hAnsi="Times New Roman"/>
          <w:color w:val="000000"/>
          <w:sz w:val="28"/>
          <w:szCs w:val="28"/>
        </w:rPr>
        <w:t>___</w:t>
      </w:r>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телемедицины.</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r w:rsidR="000624CA">
        <w:rPr>
          <w:rFonts w:ascii="Times New Roman" w:hAnsi="Times New Roman"/>
          <w:color w:val="000000"/>
          <w:sz w:val="28"/>
          <w:szCs w:val="28"/>
        </w:rPr>
        <w:t>мультимедийная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та. Используются разные типы выделения: подчеркивание одной или двумя линиями, цветовая маркировка, наносят пометки на полях, которые могут носить характер как дополни­тельных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lastRenderedPageBreak/>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сформулировать обучающимся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(генеральная,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единиц совокупности. Нулевая гипотеза. Вероятность ошибки p, значение p. Недостатки</w:t>
      </w:r>
      <w:r>
        <w:rPr>
          <w:rFonts w:ascii="Times New Roman" w:hAnsi="Times New Roman"/>
          <w:color w:val="000000"/>
          <w:sz w:val="28"/>
          <w:szCs w:val="28"/>
        </w:rPr>
        <w:t xml:space="preserve"> значения p.</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(t тест). Критическое значение t. Критерий Уилкоксона-Манна-Уитни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Парный критерий Уилкоксона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методические подходы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 xml:space="preserve">регрессионного анализа. Вмешивающийся фактор. Линейная регрессия. </w:t>
      </w:r>
      <w:r w:rsidRPr="00210853">
        <w:rPr>
          <w:rFonts w:ascii="Times New Roman" w:hAnsi="Times New Roman"/>
          <w:sz w:val="28"/>
          <w:szCs w:val="28"/>
        </w:rPr>
        <w:lastRenderedPageBreak/>
        <w:t>Простая линейная</w:t>
      </w:r>
      <w:r>
        <w:rPr>
          <w:rFonts w:ascii="Times New Roman" w:hAnsi="Times New Roman"/>
          <w:sz w:val="28"/>
          <w:szCs w:val="28"/>
        </w:rPr>
        <w:t xml:space="preserve"> </w:t>
      </w:r>
      <w:r w:rsidRPr="00210853">
        <w:rPr>
          <w:rFonts w:ascii="Times New Roman" w:hAnsi="Times New Roman"/>
          <w:sz w:val="28"/>
          <w:szCs w:val="28"/>
        </w:rPr>
        <w:t>регрессия, примеры. Множественная линейная регрессия, примеры. Логистическая</w:t>
      </w:r>
      <w:r>
        <w:rPr>
          <w:rFonts w:ascii="Times New Roman" w:hAnsi="Times New Roman"/>
          <w:sz w:val="28"/>
          <w:szCs w:val="28"/>
        </w:rPr>
        <w:t xml:space="preserve"> </w:t>
      </w:r>
      <w:r w:rsidRPr="00210853">
        <w:rPr>
          <w:rFonts w:ascii="Times New Roman" w:hAnsi="Times New Roman"/>
          <w:sz w:val="28"/>
          <w:szCs w:val="28"/>
        </w:rPr>
        <w:t>регрессия, примеры. Простая логистическая регрессия, примеры. Множественная</w:t>
      </w:r>
      <w:r>
        <w:rPr>
          <w:rFonts w:ascii="Times New Roman" w:hAnsi="Times New Roman"/>
          <w:sz w:val="28"/>
          <w:szCs w:val="28"/>
        </w:rPr>
        <w:t xml:space="preserve"> </w:t>
      </w:r>
      <w:r w:rsidRPr="00210853">
        <w:rPr>
          <w:rFonts w:ascii="Times New Roman" w:hAnsi="Times New Roman"/>
          <w:sz w:val="28"/>
          <w:szCs w:val="28"/>
        </w:rPr>
        <w:t>ло</w:t>
      </w:r>
      <w:r>
        <w:rPr>
          <w:rFonts w:ascii="Times New Roman" w:hAnsi="Times New Roman"/>
          <w:sz w:val="28"/>
          <w:szCs w:val="28"/>
        </w:rPr>
        <w:t>гистическая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примеры. Корреляция Спирмана,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lastRenderedPageBreak/>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фармакокинетике.</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Из математических моделей, известных в физиологии, следует упомянуть модель возбуждения нервного волокна, предложенную А.Ходжкином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Модель сердечной деятельности Ван дер Пола и Ван дер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Ярким примером использования математической модели для обобщения накопленных экспериментальных знаний является модель кровообращения Ф. Гродинза.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сийской сердечно-сосудистой хирургии, занимается В.А.Лищук.</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r w:rsidRPr="009373F6">
        <w:rPr>
          <w:rFonts w:ascii="Times New Roman" w:hAnsi="Times New Roman"/>
          <w:color w:val="000000"/>
          <w:sz w:val="28"/>
          <w:szCs w:val="28"/>
        </w:rPr>
        <w:t>дидактические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r w:rsidRPr="009373F6">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w:t>
      </w:r>
      <w:r w:rsidRPr="009373F6">
        <w:rPr>
          <w:rFonts w:ascii="Times New Roman" w:hAnsi="Times New Roman"/>
          <w:color w:val="000000"/>
          <w:sz w:val="28"/>
          <w:szCs w:val="28"/>
        </w:rPr>
        <w:t xml:space="preserve"> </w:t>
      </w:r>
      <w:r>
        <w:rPr>
          <w:rFonts w:ascii="Times New Roman" w:hAnsi="Times New Roman"/>
          <w:color w:val="000000"/>
          <w:sz w:val="28"/>
          <w:szCs w:val="28"/>
        </w:rPr>
        <w:t>мультимедийная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Медицинские ресурсы глобальной сети Internet</w:t>
      </w:r>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lastRenderedPageBreak/>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r w:rsidRPr="00F07AC5">
        <w:rPr>
          <w:rFonts w:ascii="Times New Roman" w:hAnsi="Times New Roman"/>
          <w:color w:val="000000"/>
          <w:sz w:val="28"/>
          <w:szCs w:val="28"/>
        </w:rPr>
        <w:t>материально-технические: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7A" w:rsidRDefault="00BE607A" w:rsidP="00CF7355">
      <w:pPr>
        <w:spacing w:after="0" w:line="240" w:lineRule="auto"/>
      </w:pPr>
      <w:r>
        <w:separator/>
      </w:r>
    </w:p>
  </w:endnote>
  <w:endnote w:type="continuationSeparator" w:id="0">
    <w:p w:rsidR="00BE607A" w:rsidRDefault="00BE607A"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22084E"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9C1571">
          <w:rPr>
            <w:rFonts w:ascii="Times New Roman" w:hAnsi="Times New Roman"/>
            <w:noProof/>
            <w:sz w:val="20"/>
          </w:rPr>
          <w:t>4</w:t>
        </w:r>
        <w:r w:rsidRPr="00B56784">
          <w:rPr>
            <w:rFonts w:ascii="Times New Roman" w:hAnsi="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7A" w:rsidRDefault="00BE607A" w:rsidP="00CF7355">
      <w:pPr>
        <w:spacing w:after="0" w:line="240" w:lineRule="auto"/>
      </w:pPr>
      <w:r>
        <w:separator/>
      </w:r>
    </w:p>
  </w:footnote>
  <w:footnote w:type="continuationSeparator" w:id="0">
    <w:p w:rsidR="00BE607A" w:rsidRDefault="00BE607A"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B268F"/>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C1571"/>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607A"/>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0388"/>
    <w:rsid w:val="00FA5D02"/>
    <w:rsid w:val="00FB3670"/>
    <w:rsid w:val="00FB3DDC"/>
    <w:rsid w:val="00FB51D3"/>
    <w:rsid w:val="00FC2DFC"/>
    <w:rsid w:val="00FC38CB"/>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F279A-6232-481D-A9C8-70484872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98DB-9B1D-42ED-9247-B47D2FF6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Калинина Екатерина Алексеевна</cp:lastModifiedBy>
  <cp:revision>87</cp:revision>
  <cp:lastPrinted>2019-02-05T10:00:00Z</cp:lastPrinted>
  <dcterms:created xsi:type="dcterms:W3CDTF">2019-03-02T15:48:00Z</dcterms:created>
  <dcterms:modified xsi:type="dcterms:W3CDTF">2020-02-07T07:46:00Z</dcterms:modified>
</cp:coreProperties>
</file>