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E8779D" w:rsidRPr="003B007A" w:rsidRDefault="00E8779D" w:rsidP="00E8779D">
      <w:pPr>
        <w:spacing w:after="750" w:line="390" w:lineRule="atLeast"/>
        <w:ind w:left="357"/>
        <w:contextualSpacing/>
        <w:jc w:val="center"/>
        <w:rPr>
          <w:b/>
          <w:bCs/>
          <w:sz w:val="36"/>
          <w:szCs w:val="36"/>
        </w:rPr>
      </w:pPr>
      <w:r w:rsidRPr="003B007A">
        <w:rPr>
          <w:b/>
          <w:bCs/>
          <w:sz w:val="36"/>
          <w:szCs w:val="36"/>
        </w:rPr>
        <w:t>Корпор</w:t>
      </w:r>
      <w:r>
        <w:rPr>
          <w:b/>
          <w:bCs/>
          <w:sz w:val="36"/>
          <w:szCs w:val="36"/>
        </w:rPr>
        <w:t>а</w:t>
      </w:r>
      <w:r w:rsidRPr="003B007A">
        <w:rPr>
          <w:b/>
          <w:bCs/>
          <w:sz w:val="36"/>
          <w:szCs w:val="36"/>
        </w:rPr>
        <w:t>тивные и муниципальные программы в сфере охраны здоровья</w:t>
      </w: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</w:t>
      </w: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9373F6" w:rsidRDefault="00E8779D" w:rsidP="00E8779D">
      <w:pPr>
        <w:jc w:val="center"/>
        <w:rPr>
          <w:sz w:val="28"/>
          <w:szCs w:val="28"/>
        </w:rPr>
      </w:pPr>
    </w:p>
    <w:p w:rsidR="00E8779D" w:rsidRPr="0068086B" w:rsidRDefault="00E8779D" w:rsidP="00E8779D">
      <w:pPr>
        <w:jc w:val="center"/>
        <w:rPr>
          <w:color w:val="000000"/>
        </w:rPr>
      </w:pPr>
      <w:r w:rsidRPr="0068086B">
        <w:rPr>
          <w:color w:val="000000"/>
        </w:rPr>
        <w:t xml:space="preserve"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«Организация и управление деятельностью по охране здоровья»), одобренной ученым советом ФГБОУ ВО </w:t>
      </w:r>
      <w:proofErr w:type="spellStart"/>
      <w:r w:rsidRPr="0068086B">
        <w:rPr>
          <w:color w:val="000000"/>
        </w:rPr>
        <w:t>ОрГМУ</w:t>
      </w:r>
      <w:proofErr w:type="spellEnd"/>
      <w:r w:rsidRPr="0068086B">
        <w:rPr>
          <w:color w:val="000000"/>
        </w:rPr>
        <w:t xml:space="preserve"> Минздрава России (протокол № 5 от 27 декабря 2019 года) и утвержденной ректором ФГБОУ ВО </w:t>
      </w:r>
      <w:proofErr w:type="spellStart"/>
      <w:r w:rsidRPr="0068086B">
        <w:rPr>
          <w:color w:val="000000"/>
        </w:rPr>
        <w:t>ОрГМУ</w:t>
      </w:r>
      <w:proofErr w:type="spellEnd"/>
      <w:r w:rsidRPr="0068086B">
        <w:rPr>
          <w:color w:val="000000"/>
        </w:rPr>
        <w:t xml:space="preserve"> Минздрава России 30 декабря 2019 года.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D06F77" w:rsidRPr="00E8779D" w:rsidRDefault="00D06F77" w:rsidP="00E8779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8779D">
        <w:rPr>
          <w:sz w:val="28"/>
          <w:szCs w:val="28"/>
        </w:rPr>
        <w:t xml:space="preserve">В результате самостоятельной работы по </w:t>
      </w:r>
      <w:r w:rsidR="00B916C2" w:rsidRPr="00E8779D">
        <w:rPr>
          <w:sz w:val="28"/>
          <w:szCs w:val="28"/>
        </w:rPr>
        <w:t>дисциплине</w:t>
      </w:r>
      <w:r w:rsidRPr="00E8779D">
        <w:rPr>
          <w:sz w:val="28"/>
          <w:szCs w:val="28"/>
        </w:rPr>
        <w:t xml:space="preserve"> «</w:t>
      </w:r>
      <w:r w:rsidR="00E8779D" w:rsidRPr="00E8779D">
        <w:rPr>
          <w:bCs/>
          <w:sz w:val="28"/>
          <w:szCs w:val="28"/>
        </w:rPr>
        <w:t>Корпоративные и муниципальные программы в сфере охраны здоровья</w:t>
      </w:r>
      <w:r w:rsidRPr="00E8779D">
        <w:rPr>
          <w:sz w:val="28"/>
          <w:szCs w:val="28"/>
        </w:rPr>
        <w:t xml:space="preserve">» обучающийся должен </w:t>
      </w:r>
      <w:r w:rsidR="00B916C2" w:rsidRPr="00E8779D">
        <w:rPr>
          <w:sz w:val="28"/>
          <w:szCs w:val="28"/>
        </w:rPr>
        <w:t>систематизировать</w:t>
      </w:r>
      <w:r w:rsidR="00BB63D7" w:rsidRPr="00E8779D">
        <w:rPr>
          <w:sz w:val="28"/>
          <w:szCs w:val="28"/>
        </w:rPr>
        <w:t xml:space="preserve"> знания</w:t>
      </w:r>
      <w:r w:rsidR="00B916C2" w:rsidRPr="00E8779D">
        <w:rPr>
          <w:sz w:val="28"/>
          <w:szCs w:val="28"/>
        </w:rPr>
        <w:t xml:space="preserve"> в области </w:t>
      </w:r>
      <w:r w:rsidR="00E8779D">
        <w:rPr>
          <w:sz w:val="28"/>
          <w:szCs w:val="28"/>
        </w:rPr>
        <w:t>программного планирования</w:t>
      </w:r>
      <w:r w:rsidR="00B916C2" w:rsidRPr="00E8779D">
        <w:rPr>
          <w:sz w:val="28"/>
          <w:szCs w:val="28"/>
        </w:rPr>
        <w:t xml:space="preserve">, овладеть системным представлением о </w:t>
      </w:r>
      <w:r w:rsidR="00E8779D">
        <w:rPr>
          <w:sz w:val="28"/>
          <w:szCs w:val="28"/>
        </w:rPr>
        <w:t>программном планирование</w:t>
      </w:r>
      <w:r w:rsidR="00BB63D7" w:rsidRPr="00E8779D">
        <w:rPr>
          <w:sz w:val="28"/>
          <w:szCs w:val="28"/>
        </w:rPr>
        <w:t xml:space="preserve"> в здравоохранении</w:t>
      </w:r>
      <w:r w:rsidR="00B916C2" w:rsidRPr="00E8779D">
        <w:rPr>
          <w:sz w:val="28"/>
          <w:szCs w:val="28"/>
        </w:rPr>
        <w:t>, понимать его значение на основе использования современных информационных технологий для эффективного управления ресурсами медицинской организации.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C04C0">
        <w:rPr>
          <w:sz w:val="28"/>
        </w:rPr>
        <w:t xml:space="preserve">, раздел </w:t>
      </w:r>
      <w:r w:rsidR="00B916C2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Default="004A04D8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Тема </w:t>
            </w:r>
            <w:proofErr w:type="gramStart"/>
            <w:r w:rsidRPr="005670B4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D91C2F" w:rsidRPr="005670B4" w:rsidTr="005B4DA2">
        <w:tc>
          <w:tcPr>
            <w:tcW w:w="9571" w:type="dxa"/>
            <w:gridSpan w:val="5"/>
            <w:shd w:val="clear" w:color="auto" w:fill="auto"/>
          </w:tcPr>
          <w:p w:rsidR="00D91C2F" w:rsidRPr="005670B4" w:rsidRDefault="00D91C2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</w:t>
            </w:r>
            <w:r>
              <w:rPr>
                <w:i/>
                <w:sz w:val="22"/>
                <w:szCs w:val="22"/>
              </w:rPr>
              <w:t>дисциплины</w:t>
            </w:r>
          </w:p>
        </w:tc>
      </w:tr>
      <w:tr w:rsidR="00D91C2F" w:rsidRPr="005670B4" w:rsidTr="00773B3B">
        <w:tc>
          <w:tcPr>
            <w:tcW w:w="534" w:type="dxa"/>
            <w:shd w:val="clear" w:color="auto" w:fill="auto"/>
          </w:tcPr>
          <w:p w:rsidR="00D91C2F" w:rsidRPr="005670B4" w:rsidRDefault="00D91C2F" w:rsidP="00AD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</w:tcPr>
          <w:p w:rsidR="00D91C2F" w:rsidRPr="00D91C2F" w:rsidRDefault="00D91C2F" w:rsidP="00AD09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D91C2F" w:rsidRPr="005670B4" w:rsidRDefault="00D91C2F" w:rsidP="0011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</w:t>
            </w:r>
            <w:r w:rsidR="0011507C">
              <w:rPr>
                <w:sz w:val="22"/>
                <w:szCs w:val="22"/>
              </w:rPr>
              <w:t>-программы</w:t>
            </w:r>
          </w:p>
        </w:tc>
        <w:tc>
          <w:tcPr>
            <w:tcW w:w="1815" w:type="dxa"/>
            <w:shd w:val="clear" w:color="auto" w:fill="auto"/>
          </w:tcPr>
          <w:p w:rsidR="00D91C2F" w:rsidRPr="005670B4" w:rsidRDefault="00D91C2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  <w:r w:rsidR="0011507C">
              <w:rPr>
                <w:sz w:val="22"/>
                <w:szCs w:val="22"/>
              </w:rPr>
              <w:t>-программы</w:t>
            </w:r>
          </w:p>
        </w:tc>
        <w:tc>
          <w:tcPr>
            <w:tcW w:w="2009" w:type="dxa"/>
            <w:shd w:val="clear" w:color="auto" w:fill="auto"/>
          </w:tcPr>
          <w:p w:rsidR="00D91C2F" w:rsidRPr="005670B4" w:rsidRDefault="00D91C2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аудиторная, 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D91C2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</w:t>
            </w:r>
            <w:r w:rsidR="009978D9" w:rsidRPr="005670B4">
              <w:rPr>
                <w:i/>
                <w:sz w:val="22"/>
                <w:szCs w:val="22"/>
              </w:rPr>
              <w:t xml:space="preserve">одуля </w:t>
            </w:r>
            <w:r w:rsidRPr="005670B4">
              <w:rPr>
                <w:i/>
                <w:sz w:val="22"/>
                <w:szCs w:val="22"/>
              </w:rPr>
              <w:t>«</w:t>
            </w:r>
            <w:r w:rsidR="00E8779D" w:rsidRPr="00E8779D">
              <w:rPr>
                <w:bCs/>
                <w:i/>
                <w:sz w:val="24"/>
                <w:szCs w:val="28"/>
              </w:rPr>
              <w:t>Корпоративные и муниципальные программы в сфере охраны здоровья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11507C" w:rsidRDefault="00605F7C" w:rsidP="00E8779D">
            <w:pPr>
              <w:jc w:val="center"/>
              <w:rPr>
                <w:sz w:val="24"/>
                <w:szCs w:val="24"/>
              </w:rPr>
            </w:pPr>
            <w:r w:rsidRPr="0011507C">
              <w:rPr>
                <w:sz w:val="24"/>
                <w:szCs w:val="24"/>
              </w:rPr>
              <w:t>Тема «</w:t>
            </w:r>
            <w:r w:rsidR="0011507C" w:rsidRPr="0011507C">
              <w:rPr>
                <w:color w:val="000000"/>
                <w:sz w:val="24"/>
                <w:szCs w:val="24"/>
              </w:rPr>
              <w:t>Сущность и содержание</w:t>
            </w:r>
            <w:r w:rsidR="0011507C" w:rsidRPr="0011507C">
              <w:rPr>
                <w:sz w:val="24"/>
                <w:szCs w:val="24"/>
              </w:rPr>
              <w:t xml:space="preserve"> к</w:t>
            </w:r>
            <w:r w:rsidR="0011507C" w:rsidRPr="0011507C">
              <w:rPr>
                <w:color w:val="000000"/>
                <w:sz w:val="24"/>
                <w:szCs w:val="24"/>
              </w:rPr>
              <w:t>орпоративных и муниципальных программ в сфере охраны здоровья</w:t>
            </w:r>
            <w:r w:rsidR="00D91C2F" w:rsidRPr="001150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05F7C" w:rsidRPr="005670B4" w:rsidRDefault="00D91C2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0F4023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4A1D4D" w:rsidRPr="005670B4" w:rsidRDefault="004A1D4D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проблемно-ситуационных задач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91C2F" w:rsidRPr="005670B4" w:rsidTr="00773B3B">
        <w:tc>
          <w:tcPr>
            <w:tcW w:w="534" w:type="dxa"/>
            <w:shd w:val="clear" w:color="auto" w:fill="auto"/>
          </w:tcPr>
          <w:p w:rsidR="00D91C2F" w:rsidRPr="005670B4" w:rsidRDefault="00D91C2F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91C2F" w:rsidRPr="0011507C" w:rsidRDefault="00D91C2F" w:rsidP="00E8779D">
            <w:pPr>
              <w:jc w:val="center"/>
              <w:rPr>
                <w:sz w:val="24"/>
                <w:szCs w:val="24"/>
              </w:rPr>
            </w:pPr>
            <w:r w:rsidRPr="0011507C">
              <w:rPr>
                <w:sz w:val="24"/>
                <w:szCs w:val="24"/>
              </w:rPr>
              <w:t>Тема «</w:t>
            </w:r>
            <w:bookmarkStart w:id="0" w:name="_Hlk93420814"/>
            <w:r w:rsidR="0011507C" w:rsidRPr="0011507C">
              <w:rPr>
                <w:bCs/>
                <w:color w:val="000000"/>
                <w:sz w:val="24"/>
                <w:szCs w:val="24"/>
              </w:rPr>
              <w:t>Структура корпоративных и муниципальных программ</w:t>
            </w:r>
            <w:bookmarkEnd w:id="0"/>
            <w:r w:rsidRPr="0011507C">
              <w:rPr>
                <w:sz w:val="24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91C2F" w:rsidRDefault="00D91C2F" w:rsidP="00D91C2F">
            <w:pPr>
              <w:jc w:val="center"/>
            </w:pPr>
            <w:r w:rsidRPr="00D85627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91C2F" w:rsidRDefault="00D91C2F" w:rsidP="00C11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16581">
              <w:rPr>
                <w:sz w:val="22"/>
                <w:szCs w:val="22"/>
              </w:rPr>
              <w:t>естирование</w:t>
            </w:r>
            <w:r>
              <w:rPr>
                <w:sz w:val="22"/>
                <w:szCs w:val="22"/>
              </w:rPr>
              <w:t xml:space="preserve"> устный опрос</w:t>
            </w:r>
          </w:p>
          <w:p w:rsidR="00BB63D7" w:rsidRPr="00F16581" w:rsidRDefault="0009030C" w:rsidP="0009030C">
            <w:pPr>
              <w:jc w:val="center"/>
            </w:pPr>
            <w:r>
              <w:rPr>
                <w:sz w:val="22"/>
                <w:szCs w:val="22"/>
              </w:rPr>
              <w:t>решение проблемно-ситуационных задач</w:t>
            </w:r>
          </w:p>
        </w:tc>
        <w:tc>
          <w:tcPr>
            <w:tcW w:w="2009" w:type="dxa"/>
            <w:shd w:val="clear" w:color="auto" w:fill="auto"/>
          </w:tcPr>
          <w:p w:rsidR="00D91C2F" w:rsidRPr="005670B4" w:rsidRDefault="00D91C2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91C2F" w:rsidRPr="005670B4" w:rsidTr="00773B3B">
        <w:tc>
          <w:tcPr>
            <w:tcW w:w="534" w:type="dxa"/>
            <w:shd w:val="clear" w:color="auto" w:fill="auto"/>
          </w:tcPr>
          <w:p w:rsidR="00D91C2F" w:rsidRPr="005670B4" w:rsidRDefault="00D91C2F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D91C2F" w:rsidRPr="0011507C" w:rsidRDefault="00D91C2F" w:rsidP="00E8779D">
            <w:pPr>
              <w:jc w:val="center"/>
              <w:rPr>
                <w:sz w:val="24"/>
                <w:szCs w:val="24"/>
              </w:rPr>
            </w:pPr>
            <w:r w:rsidRPr="0011507C">
              <w:rPr>
                <w:sz w:val="24"/>
                <w:szCs w:val="24"/>
              </w:rPr>
              <w:t>Тема «</w:t>
            </w:r>
            <w:r w:rsidR="0011507C" w:rsidRPr="0011507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Показатели обоснования эффективности программ</w:t>
            </w:r>
            <w:r w:rsidRPr="0011507C">
              <w:rPr>
                <w:sz w:val="24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91C2F" w:rsidRDefault="00D91C2F" w:rsidP="00D91C2F">
            <w:pPr>
              <w:jc w:val="center"/>
            </w:pPr>
            <w:r w:rsidRPr="00D85627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D91C2F" w:rsidRDefault="00BB63D7" w:rsidP="007D6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91C2F" w:rsidRPr="00F16581">
              <w:rPr>
                <w:sz w:val="22"/>
                <w:szCs w:val="22"/>
              </w:rPr>
              <w:t>естирование</w:t>
            </w:r>
          </w:p>
          <w:p w:rsidR="00BB63D7" w:rsidRDefault="0009030C" w:rsidP="007D639F">
            <w:pPr>
              <w:jc w:val="center"/>
            </w:pPr>
            <w:r>
              <w:rPr>
                <w:sz w:val="22"/>
                <w:szCs w:val="22"/>
              </w:rPr>
              <w:t xml:space="preserve">устный опрос </w:t>
            </w:r>
            <w:r w:rsidR="004A1D4D">
              <w:rPr>
                <w:sz w:val="22"/>
                <w:szCs w:val="22"/>
              </w:rPr>
              <w:t>з</w:t>
            </w:r>
            <w:r w:rsidR="00BB63D7">
              <w:rPr>
                <w:sz w:val="22"/>
                <w:szCs w:val="22"/>
              </w:rPr>
              <w:t>ащита проекта</w:t>
            </w:r>
          </w:p>
        </w:tc>
        <w:tc>
          <w:tcPr>
            <w:tcW w:w="2009" w:type="dxa"/>
            <w:shd w:val="clear" w:color="auto" w:fill="auto"/>
          </w:tcPr>
          <w:p w:rsidR="00D91C2F" w:rsidRPr="005670B4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670B4">
              <w:rPr>
                <w:sz w:val="22"/>
                <w:szCs w:val="22"/>
              </w:rPr>
              <w:t>удиторна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lastRenderedPageBreak/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BA165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BA165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 xml:space="preserve"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</w:t>
      </w:r>
      <w:r w:rsidRPr="006E062D">
        <w:rPr>
          <w:color w:val="000000"/>
          <w:sz w:val="28"/>
          <w:szCs w:val="28"/>
        </w:rPr>
        <w:lastRenderedPageBreak/>
        <w:t>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55609" w:rsidRDefault="00905D91" w:rsidP="00905D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</w:t>
      </w:r>
      <w:r w:rsidR="000F4023">
        <w:rPr>
          <w:sz w:val="28"/>
        </w:rPr>
        <w:t>ной ситуации.</w:t>
      </w:r>
    </w:p>
    <w:p w:rsidR="00905D91" w:rsidRPr="00755609" w:rsidRDefault="00905D91" w:rsidP="000F4023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05D91" w:rsidRPr="00755609" w:rsidRDefault="00DD7DF5" w:rsidP="00905D91">
      <w:pPr>
        <w:ind w:firstLine="709"/>
        <w:jc w:val="both"/>
        <w:rPr>
          <w:sz w:val="28"/>
        </w:rPr>
      </w:pPr>
      <w:r>
        <w:rPr>
          <w:sz w:val="28"/>
        </w:rPr>
        <w:t>1) четко сформулировать тему;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первичные (статьи, д</w:t>
      </w:r>
      <w:r w:rsidR="00DD7DF5">
        <w:rPr>
          <w:sz w:val="28"/>
        </w:rPr>
        <w:t>иссертации, монографии и т 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DD7DF5">
        <w:rPr>
          <w:sz w:val="28"/>
        </w:rPr>
        <w:t>граф-схемы</w:t>
      </w:r>
      <w:proofErr w:type="spellEnd"/>
      <w:proofErr w:type="gramEnd"/>
      <w:r w:rsidRPr="00DD7DF5">
        <w:rPr>
          <w:sz w:val="28"/>
        </w:rPr>
        <w:t>, предметные указатели и т.д.);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третичные (обзоры, компилятивные работы, справочные книги и т.д.);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</w:t>
      </w:r>
      <w:r w:rsidR="00DD7DF5">
        <w:rPr>
          <w:sz w:val="28"/>
        </w:rPr>
        <w:t>исок использованной литературы;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5) оформить работу</w:t>
      </w:r>
      <w:r w:rsidR="00DD7DF5">
        <w:rPr>
          <w:sz w:val="28"/>
        </w:rPr>
        <w:t xml:space="preserve"> в соответствии с требованиями.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</w:t>
      </w:r>
      <w:r w:rsidRPr="00742208">
        <w:rPr>
          <w:sz w:val="28"/>
        </w:rPr>
        <w:lastRenderedPageBreak/>
        <w:t>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lastRenderedPageBreak/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2" w:name=".D0.A1.D0.BE.D0.B2.D0.B5.D1.82.D1.8B_.D0"/>
      <w:bookmarkEnd w:id="2"/>
      <w:r w:rsidRPr="00DA41EF">
        <w:rPr>
          <w:sz w:val="28"/>
          <w:szCs w:val="28"/>
        </w:rPr>
        <w:t>, дают информацию для контактов.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3" w:name=".D0.A1.D0.BA.D0.BE.D0.BB.D1.8C.D0.BA.D0."/>
      <w:bookmarkEnd w:id="3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Pr="00BD5AFD" w:rsidRDefault="00905D91" w:rsidP="00905D91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AA" w:rsidRDefault="003247AA" w:rsidP="00FD5B6B">
      <w:r>
        <w:separator/>
      </w:r>
    </w:p>
  </w:endnote>
  <w:endnote w:type="continuationSeparator" w:id="0">
    <w:p w:rsidR="003247AA" w:rsidRDefault="003247A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1" w:rsidRDefault="00BA165F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11507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AA" w:rsidRDefault="003247AA" w:rsidP="00FD5B6B">
      <w:r>
        <w:separator/>
      </w:r>
    </w:p>
  </w:footnote>
  <w:footnote w:type="continuationSeparator" w:id="0">
    <w:p w:rsidR="003247AA" w:rsidRDefault="003247A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4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7"/>
  </w:num>
  <w:num w:numId="19">
    <w:abstractNumId w:val="32"/>
  </w:num>
  <w:num w:numId="20">
    <w:abstractNumId w:val="19"/>
  </w:num>
  <w:num w:numId="21">
    <w:abstractNumId w:val="21"/>
  </w:num>
  <w:num w:numId="22">
    <w:abstractNumId w:val="25"/>
  </w:num>
  <w:num w:numId="23">
    <w:abstractNumId w:val="29"/>
  </w:num>
  <w:num w:numId="24">
    <w:abstractNumId w:val="20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10"/>
  </w:num>
  <w:num w:numId="33">
    <w:abstractNumId w:val="22"/>
  </w:num>
  <w:num w:numId="34">
    <w:abstractNumId w:val="15"/>
  </w:num>
  <w:num w:numId="35">
    <w:abstractNumId w:val="26"/>
  </w:num>
  <w:num w:numId="36">
    <w:abstractNumId w:val="3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78DC"/>
    <w:rsid w:val="00033367"/>
    <w:rsid w:val="0003403A"/>
    <w:rsid w:val="000416A6"/>
    <w:rsid w:val="00041727"/>
    <w:rsid w:val="00075EF3"/>
    <w:rsid w:val="00083C34"/>
    <w:rsid w:val="0009030C"/>
    <w:rsid w:val="000931E3"/>
    <w:rsid w:val="000B75E3"/>
    <w:rsid w:val="000F4023"/>
    <w:rsid w:val="0011507C"/>
    <w:rsid w:val="001D3FDC"/>
    <w:rsid w:val="001F02EA"/>
    <w:rsid w:val="001F5EE1"/>
    <w:rsid w:val="0026698D"/>
    <w:rsid w:val="002808CD"/>
    <w:rsid w:val="002D2784"/>
    <w:rsid w:val="003247AA"/>
    <w:rsid w:val="00384C49"/>
    <w:rsid w:val="003B5F75"/>
    <w:rsid w:val="003C37BE"/>
    <w:rsid w:val="003F7C69"/>
    <w:rsid w:val="00406AE2"/>
    <w:rsid w:val="00461E8C"/>
    <w:rsid w:val="00476000"/>
    <w:rsid w:val="004A04D8"/>
    <w:rsid w:val="004A1D4D"/>
    <w:rsid w:val="004B2C94"/>
    <w:rsid w:val="004C04C0"/>
    <w:rsid w:val="004C1386"/>
    <w:rsid w:val="004D1091"/>
    <w:rsid w:val="004E684D"/>
    <w:rsid w:val="005670B4"/>
    <w:rsid w:val="005677BE"/>
    <w:rsid w:val="00582BA5"/>
    <w:rsid w:val="00593334"/>
    <w:rsid w:val="005B1DE2"/>
    <w:rsid w:val="005C4342"/>
    <w:rsid w:val="00600B21"/>
    <w:rsid w:val="00605F7C"/>
    <w:rsid w:val="006847B8"/>
    <w:rsid w:val="00691179"/>
    <w:rsid w:val="00692E12"/>
    <w:rsid w:val="00693E11"/>
    <w:rsid w:val="006D414D"/>
    <w:rsid w:val="006F14A4"/>
    <w:rsid w:val="006F7AD8"/>
    <w:rsid w:val="00742208"/>
    <w:rsid w:val="007554D8"/>
    <w:rsid w:val="00755609"/>
    <w:rsid w:val="00773B3B"/>
    <w:rsid w:val="00784B4C"/>
    <w:rsid w:val="0079237F"/>
    <w:rsid w:val="007D639F"/>
    <w:rsid w:val="00801D49"/>
    <w:rsid w:val="008113A5"/>
    <w:rsid w:val="00832D24"/>
    <w:rsid w:val="00845C7D"/>
    <w:rsid w:val="00905D91"/>
    <w:rsid w:val="009511F7"/>
    <w:rsid w:val="00961763"/>
    <w:rsid w:val="00985E1D"/>
    <w:rsid w:val="009978D9"/>
    <w:rsid w:val="009C2F35"/>
    <w:rsid w:val="009C4A0D"/>
    <w:rsid w:val="009F49C5"/>
    <w:rsid w:val="009F712E"/>
    <w:rsid w:val="00A7749F"/>
    <w:rsid w:val="00AD092D"/>
    <w:rsid w:val="00AD3EBB"/>
    <w:rsid w:val="00AF327C"/>
    <w:rsid w:val="00B350F3"/>
    <w:rsid w:val="00B916C2"/>
    <w:rsid w:val="00B93434"/>
    <w:rsid w:val="00BA165F"/>
    <w:rsid w:val="00BB63D7"/>
    <w:rsid w:val="00BF1CD1"/>
    <w:rsid w:val="00C35B2E"/>
    <w:rsid w:val="00C83AB7"/>
    <w:rsid w:val="00C96D6D"/>
    <w:rsid w:val="00CD37A5"/>
    <w:rsid w:val="00D06B87"/>
    <w:rsid w:val="00D06F77"/>
    <w:rsid w:val="00D33524"/>
    <w:rsid w:val="00D35869"/>
    <w:rsid w:val="00D46A21"/>
    <w:rsid w:val="00D471E6"/>
    <w:rsid w:val="00D91C2F"/>
    <w:rsid w:val="00DA41EF"/>
    <w:rsid w:val="00DD7DF5"/>
    <w:rsid w:val="00E57C66"/>
    <w:rsid w:val="00E8779D"/>
    <w:rsid w:val="00EC45CD"/>
    <w:rsid w:val="00EE10AD"/>
    <w:rsid w:val="00F0689E"/>
    <w:rsid w:val="00F44E53"/>
    <w:rsid w:val="00F5136B"/>
    <w:rsid w:val="00F55788"/>
    <w:rsid w:val="00F8248C"/>
    <w:rsid w:val="00F8739C"/>
    <w:rsid w:val="00F922E9"/>
    <w:rsid w:val="00FA55EC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6458D-365B-4A4C-9974-9D115C1A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35</cp:revision>
  <cp:lastPrinted>2019-03-11T04:50:00Z</cp:lastPrinted>
  <dcterms:created xsi:type="dcterms:W3CDTF">2019-02-04T05:01:00Z</dcterms:created>
  <dcterms:modified xsi:type="dcterms:W3CDTF">2022-01-22T05:27:00Z</dcterms:modified>
</cp:coreProperties>
</file>