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0530A" w:rsidRPr="003E7CE3" w:rsidRDefault="00265339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513AEC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513AEC">
        <w:rPr>
          <w:i/>
          <w:sz w:val="28"/>
          <w:szCs w:val="28"/>
        </w:rPr>
        <w:t>Клиническая</w:t>
      </w:r>
      <w:r w:rsidRPr="003E7CE3">
        <w:rPr>
          <w:i/>
          <w:sz w:val="28"/>
          <w:szCs w:val="28"/>
        </w:rPr>
        <w:t xml:space="preserve">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513AEC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Кардиология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A21EC5" w:rsidRDefault="00A21EC5" w:rsidP="00A21EC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bookmarkStart w:id="0" w:name="bookmark2"/>
      <w:bookmarkStart w:id="1" w:name="_GoBack"/>
      <w:bookmarkEnd w:id="1"/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A21EC5" w:rsidRDefault="00A21EC5" w:rsidP="00A21EC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утвержденной ученым советом ФГБОУ ВО </w:t>
      </w:r>
      <w:proofErr w:type="spellStart"/>
      <w:r>
        <w:rPr>
          <w:color w:val="000000"/>
          <w:sz w:val="27"/>
          <w:szCs w:val="27"/>
        </w:rPr>
        <w:t>ОрГМУ</w:t>
      </w:r>
      <w:proofErr w:type="spellEnd"/>
      <w:r>
        <w:rPr>
          <w:color w:val="000000"/>
          <w:sz w:val="27"/>
          <w:szCs w:val="27"/>
        </w:rPr>
        <w:t xml:space="preserve"> Минздрава России</w:t>
      </w:r>
    </w:p>
    <w:p w:rsidR="00A21EC5" w:rsidRDefault="00A21EC5" w:rsidP="00A21EC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A21EC5" w:rsidRDefault="00A21EC5" w:rsidP="00A21EC5">
      <w:pPr>
        <w:jc w:val="center"/>
        <w:rPr>
          <w:b/>
          <w:color w:val="FF0000"/>
          <w:sz w:val="28"/>
          <w:szCs w:val="28"/>
        </w:rPr>
      </w:pPr>
    </w:p>
    <w:p w:rsidR="00A21EC5" w:rsidRDefault="00A21EC5" w:rsidP="00A21EC5">
      <w:pPr>
        <w:jc w:val="center"/>
        <w:rPr>
          <w:b/>
          <w:color w:val="FF0000"/>
          <w:sz w:val="28"/>
          <w:szCs w:val="28"/>
        </w:rPr>
      </w:pPr>
    </w:p>
    <w:p w:rsidR="00A21EC5" w:rsidRDefault="00A21EC5" w:rsidP="00A21EC5">
      <w:pPr>
        <w:jc w:val="center"/>
        <w:rPr>
          <w:b/>
          <w:color w:val="FF0000"/>
          <w:sz w:val="28"/>
          <w:szCs w:val="28"/>
        </w:rPr>
      </w:pPr>
    </w:p>
    <w:p w:rsidR="00A21EC5" w:rsidRDefault="00A21EC5" w:rsidP="00A21EC5">
      <w:pPr>
        <w:jc w:val="center"/>
        <w:rPr>
          <w:sz w:val="28"/>
          <w:szCs w:val="28"/>
        </w:rPr>
      </w:pPr>
    </w:p>
    <w:p w:rsidR="00A21EC5" w:rsidRDefault="00A21EC5" w:rsidP="00A21EC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>: 3</w:t>
      </w:r>
      <w:r w:rsidR="00513AEC">
        <w:rPr>
          <w:rStyle w:val="13"/>
          <w:b w:val="0"/>
          <w:bCs w:val="0"/>
          <w:sz w:val="28"/>
          <w:szCs w:val="28"/>
        </w:rPr>
        <w:t>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513AEC">
        <w:rPr>
          <w:rStyle w:val="13"/>
          <w:b w:val="0"/>
          <w:bCs w:val="0"/>
          <w:sz w:val="28"/>
          <w:szCs w:val="28"/>
        </w:rPr>
        <w:t>Клиническая</w:t>
      </w:r>
      <w:r w:rsidRPr="003E7CE3">
        <w:rPr>
          <w:rStyle w:val="13"/>
          <w:b w:val="0"/>
          <w:bCs w:val="0"/>
          <w:sz w:val="28"/>
          <w:szCs w:val="28"/>
        </w:rPr>
        <w:t xml:space="preserve">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513AEC">
        <w:rPr>
          <w:b w:val="0"/>
          <w:sz w:val="28"/>
          <w:szCs w:val="28"/>
        </w:rPr>
        <w:t>Кардиология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 w:rsidR="0030376C">
              <w:t xml:space="preserve">аттестационного </w:t>
            </w:r>
            <w:r w:rsidRPr="003E7CE3">
              <w:t xml:space="preserve">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ПК-2</w:t>
            </w:r>
            <w:r w:rsidRPr="003E7CE3">
              <w:tab/>
              <w:t xml:space="preserve">способностью и готовностью к проведению </w:t>
            </w:r>
            <w:proofErr w:type="spellStart"/>
            <w:r w:rsidRPr="003E7CE3">
              <w:t>профориентационных</w:t>
            </w:r>
            <w:proofErr w:type="spellEnd"/>
            <w:r w:rsidRPr="003E7CE3"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3E7CE3">
              <w:t>бакалавриата</w:t>
            </w:r>
            <w:proofErr w:type="spellEnd"/>
            <w:r w:rsidRPr="003E7CE3">
              <w:t xml:space="preserve">, </w:t>
            </w:r>
            <w:proofErr w:type="spellStart"/>
            <w:r w:rsidRPr="003E7CE3"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3" w:name="bookmark12"/>
      <w:bookmarkEnd w:id="2"/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3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4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информация председателя ГЭК о выпускнике (ФИО), теме работы, руководителе, рецензентах;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выпускника с научным докладом (10-15 минут);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bookmarkStart w:id="6" w:name="bookmark15"/>
      <w:bookmarkEnd w:id="5"/>
      <w:r w:rsidRPr="003E7CE3">
        <w:rPr>
          <w:sz w:val="28"/>
          <w:szCs w:val="28"/>
        </w:rPr>
        <w:t>4</w:t>
      </w:r>
      <w:bookmarkStart w:id="7" w:name="bookmark16"/>
      <w:bookmarkEnd w:id="6"/>
      <w:r w:rsidRPr="003E7CE3">
        <w:rPr>
          <w:sz w:val="28"/>
          <w:szCs w:val="28"/>
        </w:rPr>
        <w:t xml:space="preserve">.2 Критерии </w:t>
      </w:r>
      <w:proofErr w:type="gramStart"/>
      <w:r w:rsidRPr="003E7CE3">
        <w:rPr>
          <w:sz w:val="28"/>
          <w:szCs w:val="28"/>
        </w:rPr>
        <w:t>оценивания</w:t>
      </w:r>
      <w:proofErr w:type="gramEnd"/>
      <w:r w:rsidRPr="003E7CE3">
        <w:rPr>
          <w:sz w:val="28"/>
          <w:szCs w:val="28"/>
        </w:rPr>
        <w:t xml:space="preserve"> представленного аспирантом научного доклада об основных результатах подготовленной научно-квалификационной работы</w:t>
      </w:r>
      <w:bookmarkEnd w:id="7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E7CE3">
              <w:rPr>
                <w:sz w:val="24"/>
                <w:szCs w:val="24"/>
              </w:rPr>
              <w:t>корректно  дается</w:t>
            </w:r>
            <w:proofErr w:type="gramEnd"/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доказательно обосновывает </w:t>
            </w:r>
            <w:r w:rsidRPr="003E7CE3">
              <w:rPr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  <w:bookmarkEnd w:id="8"/>
    </w:p>
    <w:sectPr w:rsidR="00E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216BC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13AEC"/>
    <w:rsid w:val="0052613D"/>
    <w:rsid w:val="0057457C"/>
    <w:rsid w:val="0059748F"/>
    <w:rsid w:val="005C3707"/>
    <w:rsid w:val="005C3BB5"/>
    <w:rsid w:val="005D1740"/>
    <w:rsid w:val="005D44C2"/>
    <w:rsid w:val="00630BC8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21EC5"/>
    <w:rsid w:val="00AB2BDD"/>
    <w:rsid w:val="00AB7136"/>
    <w:rsid w:val="00B35085"/>
    <w:rsid w:val="00B42256"/>
    <w:rsid w:val="00BB3833"/>
    <w:rsid w:val="00BE5808"/>
    <w:rsid w:val="00C72A35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736C-4914-44D2-BF5B-5FD27EAE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s21032431@gmail.com</cp:lastModifiedBy>
  <cp:revision>48</cp:revision>
  <dcterms:created xsi:type="dcterms:W3CDTF">2019-06-29T13:44:00Z</dcterms:created>
  <dcterms:modified xsi:type="dcterms:W3CDTF">2019-10-08T02:17:00Z</dcterms:modified>
</cp:coreProperties>
</file>