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B4" w:rsidRPr="00CB5415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CB541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07CB4" w:rsidRPr="00CB5415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CB5415">
        <w:rPr>
          <w:rFonts w:ascii="Times New Roman" w:hAnsi="Times New Roman"/>
          <w:sz w:val="28"/>
          <w:szCs w:val="28"/>
        </w:rPr>
        <w:t>высшего образования</w:t>
      </w:r>
    </w:p>
    <w:p w:rsidR="00707CB4" w:rsidRPr="00CB5415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CB541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07CB4" w:rsidRPr="00CB5415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CB541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07CB4" w:rsidRPr="00CB5415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CB4" w:rsidRPr="00CB5415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CB4" w:rsidRPr="00CB5415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  <w:r w:rsidRPr="00CB5415">
        <w:rPr>
          <w:rFonts w:ascii="Times New Roman" w:hAnsi="Times New Roman"/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707CB4" w:rsidRPr="00CB5415" w:rsidRDefault="007E0263" w:rsidP="00707CB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СЕРДЕЧНАЯ НЕДОСТАТОЧНОСТЬ</w:t>
      </w:r>
    </w:p>
    <w:p w:rsidR="00707CB4" w:rsidRPr="00CB5415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CB4" w:rsidRPr="00CB5415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CB5415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707CB4" w:rsidRPr="00CB5415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</w:p>
    <w:p w:rsidR="00707CB4" w:rsidRPr="00CB5415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  <w:r w:rsidRPr="00CB5415">
        <w:rPr>
          <w:rFonts w:ascii="Times New Roman" w:hAnsi="Times New Roman"/>
          <w:i/>
          <w:sz w:val="28"/>
          <w:szCs w:val="28"/>
        </w:rPr>
        <w:t>31.06.01 Клиническая медицина</w:t>
      </w:r>
    </w:p>
    <w:p w:rsidR="00707CB4" w:rsidRPr="00CB5415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  <w:r w:rsidRPr="00CB5415">
        <w:rPr>
          <w:rFonts w:ascii="Times New Roman" w:hAnsi="Times New Roman"/>
          <w:i/>
          <w:sz w:val="28"/>
          <w:szCs w:val="28"/>
        </w:rPr>
        <w:t xml:space="preserve">направленность (профиль) </w:t>
      </w:r>
    </w:p>
    <w:p w:rsidR="00707CB4" w:rsidRPr="00CB5415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  <w:r w:rsidRPr="00CB5415">
        <w:rPr>
          <w:rFonts w:ascii="Times New Roman" w:hAnsi="Times New Roman"/>
          <w:i/>
          <w:sz w:val="28"/>
          <w:szCs w:val="28"/>
        </w:rPr>
        <w:t>Кардиология</w:t>
      </w:r>
    </w:p>
    <w:p w:rsidR="00707CB4" w:rsidRPr="00CB5415" w:rsidRDefault="00707CB4" w:rsidP="00707CB4">
      <w:pPr>
        <w:jc w:val="center"/>
        <w:rPr>
          <w:rFonts w:ascii="Times New Roman" w:hAnsi="Times New Roman"/>
          <w:sz w:val="28"/>
          <w:szCs w:val="28"/>
        </w:rPr>
      </w:pPr>
    </w:p>
    <w:p w:rsidR="00707CB4" w:rsidRPr="00CB5415" w:rsidRDefault="00707CB4" w:rsidP="00707CB4">
      <w:pPr>
        <w:rPr>
          <w:rFonts w:ascii="Times New Roman" w:hAnsi="Times New Roman"/>
          <w:b/>
          <w:sz w:val="28"/>
          <w:szCs w:val="28"/>
        </w:rPr>
      </w:pPr>
    </w:p>
    <w:p w:rsidR="00707CB4" w:rsidRPr="00CB5415" w:rsidRDefault="00707CB4" w:rsidP="00707CB4">
      <w:pPr>
        <w:rPr>
          <w:rFonts w:ascii="Times New Roman" w:hAnsi="Times New Roman"/>
          <w:b/>
          <w:sz w:val="28"/>
          <w:szCs w:val="28"/>
        </w:rPr>
      </w:pPr>
    </w:p>
    <w:p w:rsidR="003B6BAC" w:rsidRDefault="003B6BAC" w:rsidP="003B6BAC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3B6BAC" w:rsidRDefault="003B6BAC" w:rsidP="003B6BA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:rsidR="003B6BAC" w:rsidRDefault="003B6BAC" w:rsidP="003B6BA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707CB4" w:rsidRPr="00CB5415" w:rsidRDefault="00707CB4" w:rsidP="00707C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7CB4" w:rsidRPr="00CB5415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CB5415">
        <w:rPr>
          <w:rFonts w:ascii="Times New Roman" w:hAnsi="Times New Roman"/>
          <w:sz w:val="28"/>
          <w:szCs w:val="28"/>
        </w:rPr>
        <w:t>Оренбург</w:t>
      </w:r>
    </w:p>
    <w:p w:rsidR="00707CB4" w:rsidRPr="00CB5415" w:rsidRDefault="00707CB4" w:rsidP="00707CB4">
      <w:pPr>
        <w:jc w:val="center"/>
        <w:rPr>
          <w:rFonts w:ascii="Times New Roman" w:hAnsi="Times New Roman"/>
          <w:sz w:val="28"/>
          <w:szCs w:val="28"/>
        </w:rPr>
      </w:pPr>
    </w:p>
    <w:p w:rsidR="0026456C" w:rsidRPr="00CB5415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CB5415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CB5415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CB5415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2595" w:rsidRPr="00CB5415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CB5415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992E8F" w:rsidRPr="00CB5415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CB5415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741C9" w:rsidRPr="00D76359" w:rsidRDefault="00E72595" w:rsidP="00D76359">
      <w:pPr>
        <w:pStyle w:val="4"/>
        <w:shd w:val="clear" w:color="auto" w:fill="auto"/>
        <w:spacing w:line="240" w:lineRule="auto"/>
        <w:ind w:left="34" w:firstLine="0"/>
        <w:jc w:val="center"/>
        <w:rPr>
          <w:b/>
          <w:sz w:val="28"/>
          <w:szCs w:val="28"/>
        </w:rPr>
      </w:pPr>
      <w:r w:rsidRPr="00CB5415">
        <w:rPr>
          <w:b/>
          <w:color w:val="000000"/>
          <w:sz w:val="28"/>
          <w:szCs w:val="28"/>
        </w:rPr>
        <w:t>Тема</w:t>
      </w:r>
      <w:r w:rsidR="002B5FA7" w:rsidRPr="00CB5415">
        <w:rPr>
          <w:color w:val="000000"/>
          <w:sz w:val="28"/>
          <w:szCs w:val="28"/>
        </w:rPr>
        <w:t>:</w:t>
      </w:r>
      <w:r w:rsidR="00D34996" w:rsidRPr="00CB5415">
        <w:rPr>
          <w:b/>
          <w:sz w:val="28"/>
          <w:szCs w:val="28"/>
        </w:rPr>
        <w:t xml:space="preserve"> </w:t>
      </w:r>
      <w:r w:rsidR="00D76359" w:rsidRPr="00D76359">
        <w:rPr>
          <w:b/>
          <w:sz w:val="28"/>
          <w:szCs w:val="28"/>
        </w:rPr>
        <w:t>1.</w:t>
      </w:r>
      <w:r w:rsidR="00D76359" w:rsidRPr="00D76359">
        <w:rPr>
          <w:b/>
          <w:sz w:val="28"/>
          <w:szCs w:val="28"/>
        </w:rPr>
        <w:tab/>
      </w:r>
      <w:r w:rsidR="00D76359">
        <w:rPr>
          <w:b/>
          <w:sz w:val="28"/>
          <w:szCs w:val="28"/>
        </w:rPr>
        <w:t xml:space="preserve">Хроническая сердечная недостаточность. </w:t>
      </w:r>
      <w:r w:rsidR="00D76359" w:rsidRPr="00D76359">
        <w:rPr>
          <w:b/>
          <w:sz w:val="28"/>
          <w:szCs w:val="28"/>
        </w:rPr>
        <w:t>Эпидемиология. Основные причины. Патогенез.</w:t>
      </w:r>
      <w:r w:rsidR="00D76359">
        <w:rPr>
          <w:b/>
          <w:sz w:val="28"/>
          <w:szCs w:val="28"/>
        </w:rPr>
        <w:t xml:space="preserve"> Классификация. </w:t>
      </w:r>
    </w:p>
    <w:p w:rsidR="00D34996" w:rsidRPr="00CB5415" w:rsidRDefault="00D34996" w:rsidP="00D741C9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59CB" w:rsidRPr="00CB5415" w:rsidRDefault="003314E4" w:rsidP="00632E01">
      <w:pPr>
        <w:pStyle w:val="4"/>
        <w:shd w:val="clear" w:color="auto" w:fill="auto"/>
        <w:spacing w:line="240" w:lineRule="auto"/>
        <w:ind w:left="34" w:firstLine="0"/>
        <w:jc w:val="both"/>
        <w:rPr>
          <w:sz w:val="28"/>
          <w:szCs w:val="28"/>
        </w:rPr>
      </w:pPr>
      <w:r w:rsidRPr="00CB5415">
        <w:rPr>
          <w:b/>
          <w:color w:val="000000"/>
          <w:sz w:val="28"/>
          <w:szCs w:val="28"/>
        </w:rPr>
        <w:t>Ц</w:t>
      </w:r>
      <w:r w:rsidR="00E72595" w:rsidRPr="00CB5415">
        <w:rPr>
          <w:b/>
          <w:color w:val="000000"/>
          <w:sz w:val="28"/>
          <w:szCs w:val="28"/>
        </w:rPr>
        <w:t>ель:</w:t>
      </w:r>
      <w:r w:rsidR="00D34996" w:rsidRPr="00CB5415">
        <w:rPr>
          <w:b/>
          <w:color w:val="000000"/>
          <w:sz w:val="28"/>
          <w:szCs w:val="28"/>
        </w:rPr>
        <w:t xml:space="preserve"> </w:t>
      </w:r>
      <w:r w:rsidR="0078304F" w:rsidRPr="00CB5415">
        <w:rPr>
          <w:color w:val="000000"/>
          <w:sz w:val="28"/>
          <w:szCs w:val="28"/>
        </w:rPr>
        <w:t xml:space="preserve">углубить знания </w:t>
      </w:r>
      <w:r w:rsidR="00D34996" w:rsidRPr="00CB5415">
        <w:rPr>
          <w:color w:val="000000"/>
          <w:sz w:val="28"/>
          <w:szCs w:val="28"/>
        </w:rPr>
        <w:t xml:space="preserve">по </w:t>
      </w:r>
      <w:r w:rsidR="00B47C22">
        <w:rPr>
          <w:sz w:val="28"/>
          <w:szCs w:val="28"/>
        </w:rPr>
        <w:t>этиологии и патогенезу ХСН</w:t>
      </w:r>
      <w:r w:rsidR="00632E01" w:rsidRPr="00CB5415">
        <w:rPr>
          <w:sz w:val="28"/>
          <w:szCs w:val="28"/>
        </w:rPr>
        <w:t xml:space="preserve">. Изучить </w:t>
      </w:r>
      <w:r w:rsidR="00B47C22">
        <w:rPr>
          <w:sz w:val="28"/>
          <w:szCs w:val="28"/>
        </w:rPr>
        <w:t>современную классификацию</w:t>
      </w:r>
      <w:r w:rsidR="00632E01" w:rsidRPr="00CB5415">
        <w:rPr>
          <w:sz w:val="28"/>
          <w:szCs w:val="28"/>
        </w:rPr>
        <w:t>.</w:t>
      </w:r>
    </w:p>
    <w:p w:rsidR="00632E01" w:rsidRPr="00CB5415" w:rsidRDefault="00632E01" w:rsidP="00632E01">
      <w:pPr>
        <w:pStyle w:val="4"/>
        <w:shd w:val="clear" w:color="auto" w:fill="auto"/>
        <w:spacing w:line="240" w:lineRule="auto"/>
        <w:ind w:left="34" w:firstLine="0"/>
        <w:rPr>
          <w:color w:val="000000"/>
          <w:sz w:val="28"/>
          <w:szCs w:val="28"/>
        </w:rPr>
      </w:pPr>
    </w:p>
    <w:p w:rsidR="00992E8F" w:rsidRPr="00CB5415" w:rsidRDefault="00E72595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F00A7" w:rsidRDefault="00BF00A7" w:rsidP="00BF00A7">
      <w:pPr>
        <w:pStyle w:val="ac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BF00A7">
        <w:rPr>
          <w:rFonts w:ascii="Times New Roman" w:hAnsi="Times New Roman" w:cs="Times New Roman"/>
          <w:color w:val="000000"/>
          <w:sz w:val="28"/>
          <w:szCs w:val="28"/>
        </w:rPr>
        <w:t>пидемиология ХСН (распространенность, выживаемость, прогноз). Основные причины ХСН. Патогенез ХСН. Эволюция научных взглядов (кардиальная модель, кардиоренальная, гемодинамическая, нейрогуморальная, миокардиальная модель ХСН).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0A7">
        <w:rPr>
          <w:rFonts w:ascii="Times New Roman" w:hAnsi="Times New Roman" w:cs="Times New Roman"/>
          <w:color w:val="000000"/>
          <w:sz w:val="28"/>
          <w:szCs w:val="28"/>
        </w:rPr>
        <w:t>Патогенез ХСН. Роль активации тканевых нейрогормонов. Работа сердца как насоса. Закон Франка-Старлинга. Пред и посленагрузка. Ремоделирование сердца. Роль РААС. Роль системы предсердных натрийдиуритических пептидов. Роль хронической гиперактивации САС. Механизм образования отеков.</w:t>
      </w:r>
      <w:r w:rsidRPr="00BF00A7">
        <w:rPr>
          <w:rFonts w:ascii="Times New Roman" w:hAnsi="Times New Roman" w:cs="Times New Roman"/>
          <w:color w:val="000000"/>
          <w:sz w:val="28"/>
          <w:szCs w:val="28"/>
        </w:rPr>
        <w:tab/>
        <w:t>Классификация ХСН. Классификация В.Х. Василенко и Н.Д. Стражеско. Классификация ХСН NYHA.</w:t>
      </w:r>
      <w:r w:rsidRPr="00BF00A7">
        <w:rPr>
          <w:rFonts w:ascii="Times New Roman" w:hAnsi="Times New Roman" w:cs="Times New Roman"/>
          <w:color w:val="000000"/>
          <w:sz w:val="28"/>
          <w:szCs w:val="28"/>
        </w:rPr>
        <w:tab/>
        <w:t>Клинические методы оценки тяжести ХСН (оценка клинического состояния, динамики функционального класса, толерантности к нагрузкам, оценка качества жизни)</w:t>
      </w:r>
    </w:p>
    <w:p w:rsidR="003378FF" w:rsidRPr="00CB5415" w:rsidRDefault="003378FF" w:rsidP="00BF00A7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CB5415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B5415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B5415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415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B5415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CB5415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5415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CB5415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5415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CB5415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CB5415">
        <w:rPr>
          <w:rFonts w:ascii="Times New Roman" w:hAnsi="Times New Roman" w:cs="Times New Roman"/>
          <w:sz w:val="28"/>
          <w:szCs w:val="28"/>
        </w:rPr>
        <w:t>.</w:t>
      </w:r>
    </w:p>
    <w:p w:rsidR="003378FF" w:rsidRPr="00CB5415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5415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5034E" w:rsidRDefault="00D5034E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5415" w:rsidRPr="00CB5415" w:rsidRDefault="00CB5415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34E" w:rsidRPr="00CB5415" w:rsidRDefault="00D5034E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817" w:rsidRPr="00CB5415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CB5415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CB5415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CB54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CB5415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4CAF" w:rsidRDefault="0014532D" w:rsidP="00D7548B">
      <w:pPr>
        <w:pStyle w:val="4"/>
        <w:shd w:val="clear" w:color="auto" w:fill="auto"/>
        <w:spacing w:line="240" w:lineRule="auto"/>
        <w:ind w:left="34" w:firstLine="0"/>
        <w:jc w:val="center"/>
        <w:rPr>
          <w:b/>
          <w:sz w:val="28"/>
          <w:szCs w:val="28"/>
        </w:rPr>
      </w:pPr>
      <w:r w:rsidRPr="00CB5415">
        <w:rPr>
          <w:b/>
          <w:color w:val="000000"/>
          <w:sz w:val="28"/>
          <w:szCs w:val="28"/>
        </w:rPr>
        <w:t>Тема 1</w:t>
      </w:r>
      <w:r w:rsidR="00855B1B" w:rsidRPr="00CB5415">
        <w:rPr>
          <w:b/>
          <w:color w:val="000000"/>
          <w:sz w:val="28"/>
          <w:szCs w:val="28"/>
        </w:rPr>
        <w:t>.</w:t>
      </w:r>
      <w:r w:rsidR="004069B8" w:rsidRPr="00CB5415">
        <w:rPr>
          <w:b/>
          <w:color w:val="000000"/>
          <w:sz w:val="28"/>
          <w:szCs w:val="28"/>
        </w:rPr>
        <w:t xml:space="preserve"> </w:t>
      </w:r>
      <w:r w:rsidR="00D7548B">
        <w:rPr>
          <w:b/>
          <w:sz w:val="28"/>
          <w:szCs w:val="28"/>
        </w:rPr>
        <w:t xml:space="preserve">Хроническая сердечная недостаточность. </w:t>
      </w:r>
      <w:r w:rsidR="00D7548B" w:rsidRPr="00D76359">
        <w:rPr>
          <w:b/>
          <w:sz w:val="28"/>
          <w:szCs w:val="28"/>
        </w:rPr>
        <w:t>Эпидемиология. Основные причины. Патогенез.</w:t>
      </w:r>
    </w:p>
    <w:p w:rsidR="00D7548B" w:rsidRPr="00CB5415" w:rsidRDefault="00D7548B" w:rsidP="00D7548B">
      <w:pPr>
        <w:pStyle w:val="4"/>
        <w:shd w:val="clear" w:color="auto" w:fill="auto"/>
        <w:spacing w:line="240" w:lineRule="auto"/>
        <w:ind w:left="34" w:firstLine="0"/>
        <w:jc w:val="center"/>
        <w:rPr>
          <w:bCs/>
          <w:sz w:val="28"/>
          <w:szCs w:val="28"/>
        </w:rPr>
      </w:pPr>
    </w:p>
    <w:p w:rsidR="0014532D" w:rsidRPr="00CB5415" w:rsidRDefault="0014532D" w:rsidP="00DF4CAF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B5415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696A0E" w:rsidRPr="00CB5415" w:rsidRDefault="0014532D" w:rsidP="00696A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96A0E" w:rsidRPr="00CB54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5B1B" w:rsidRPr="00CB5415"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 w:rsidR="00696A0E" w:rsidRPr="00CB541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7548B">
        <w:rPr>
          <w:rFonts w:ascii="Times New Roman" w:hAnsi="Times New Roman"/>
          <w:color w:val="000000"/>
          <w:sz w:val="28"/>
          <w:szCs w:val="28"/>
        </w:rPr>
        <w:t>этиологии, патогенезу сердечной недостаточности.</w:t>
      </w:r>
      <w:r w:rsidR="00696A0E" w:rsidRPr="00CB54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CB5415" w:rsidRDefault="0014532D" w:rsidP="00855B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CB5415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CB5415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CB5415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CB5415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CB5415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CB5415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CB5415" w:rsidTr="00DF78F0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F78F0" w:rsidRPr="00CB5415" w:rsidRDefault="00DF78F0" w:rsidP="00DF78F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:rsidR="00612BF5" w:rsidRDefault="00612BF5" w:rsidP="00612BF5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пидемиология ХСН (распространенность, выживаемость, прогноз). </w:t>
            </w:r>
          </w:p>
          <w:p w:rsidR="00612BF5" w:rsidRDefault="00612BF5" w:rsidP="00612BF5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причины ХСН. </w:t>
            </w:r>
          </w:p>
          <w:p w:rsidR="00612BF5" w:rsidRDefault="00612BF5" w:rsidP="00612BF5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Патогенез ХСН. Эволюция научных взглядов (кардиальная модель, кардиоренальная, гемодинамическая, нейрогуморальная, миокардиальная модель ХСН).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2BF5" w:rsidRDefault="00612BF5" w:rsidP="00612BF5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Патогенез ХСН. Роль активации тканевых нейрогормонов. Работа сердца как насоса. Закон Франка-Старлинга. Пред и посленагрузка. Ремоделирование сердца. Роль РААС. Роль системы предсердных натрийдиуритических пептидов. Роль хронической гиперактивации САС. </w:t>
            </w:r>
          </w:p>
          <w:p w:rsidR="00612BF5" w:rsidRDefault="00612BF5" w:rsidP="00612BF5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образования отеков.</w:t>
            </w: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62C6B" w:rsidRPr="00D62C6B" w:rsidRDefault="00D62C6B" w:rsidP="00D62C6B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жизни у больных с ХСН.</w:t>
            </w:r>
          </w:p>
          <w:p w:rsidR="00D62C6B" w:rsidRPr="00D62C6B" w:rsidRDefault="00D62C6B" w:rsidP="00D62C6B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эндотелия при ХСН различной тяжести, ключевые эндотелиальные факторы, определяющие сосудистый тонус (оксид азота, эндотелин-1).</w:t>
            </w:r>
          </w:p>
          <w:p w:rsidR="00DB7F1E" w:rsidRPr="00CB5415" w:rsidRDefault="00D62C6B" w:rsidP="00983FB6">
            <w:pPr>
              <w:pStyle w:val="ac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D6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Программируемая клеточная гибель как неотъемлемое звено патогенеза ХСН.</w:t>
            </w:r>
          </w:p>
        </w:tc>
      </w:tr>
      <w:tr w:rsidR="0014532D" w:rsidRPr="00CB5415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CB5415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CB5415" w:rsidRDefault="00DB7F1E" w:rsidP="00DB7F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CB5415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CB5415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CB5415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812B29" w:rsidRPr="00CB5415">
        <w:rPr>
          <w:rFonts w:ascii="Times New Roman" w:hAnsi="Times New Roman"/>
          <w:color w:val="000000"/>
          <w:sz w:val="28"/>
          <w:szCs w:val="28"/>
        </w:rPr>
        <w:t xml:space="preserve"> схемы</w:t>
      </w:r>
      <w:r w:rsidRPr="00CB5415">
        <w:rPr>
          <w:rFonts w:ascii="Times New Roman" w:hAnsi="Times New Roman"/>
          <w:color w:val="000000"/>
          <w:sz w:val="28"/>
          <w:szCs w:val="28"/>
        </w:rPr>
        <w:t>;</w:t>
      </w:r>
    </w:p>
    <w:p w:rsidR="0014532D" w:rsidRPr="00CB5415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color w:val="000000"/>
          <w:sz w:val="28"/>
          <w:szCs w:val="28"/>
        </w:rPr>
        <w:t>-</w:t>
      </w:r>
      <w:r w:rsidR="00D92167" w:rsidRPr="00CB5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5415">
        <w:rPr>
          <w:rFonts w:ascii="Times New Roman" w:hAnsi="Times New Roman"/>
          <w:color w:val="000000"/>
          <w:sz w:val="28"/>
          <w:szCs w:val="28"/>
        </w:rPr>
        <w:t>материально-техническ</w:t>
      </w:r>
      <w:r w:rsidR="00DF78F0" w:rsidRPr="00CB5415">
        <w:rPr>
          <w:rFonts w:ascii="Times New Roman" w:hAnsi="Times New Roman"/>
          <w:color w:val="000000"/>
          <w:sz w:val="28"/>
          <w:szCs w:val="28"/>
        </w:rPr>
        <w:t>ие: мел белый и цветной, доска.</w:t>
      </w:r>
    </w:p>
    <w:p w:rsidR="00901053" w:rsidRDefault="00901053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B" w:rsidRDefault="00D62C6B" w:rsidP="00D62C6B">
      <w:pPr>
        <w:pStyle w:val="4"/>
        <w:shd w:val="clear" w:color="auto" w:fill="auto"/>
        <w:spacing w:line="240" w:lineRule="auto"/>
        <w:ind w:left="34" w:firstLine="0"/>
        <w:jc w:val="center"/>
        <w:rPr>
          <w:b/>
          <w:sz w:val="28"/>
          <w:szCs w:val="28"/>
        </w:rPr>
      </w:pPr>
      <w:r w:rsidRPr="00CB5415">
        <w:rPr>
          <w:b/>
          <w:color w:val="000000"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 xml:space="preserve">Хроническая сердечная недостаточность. </w:t>
      </w:r>
      <w:r w:rsidRPr="00D76359">
        <w:rPr>
          <w:b/>
          <w:sz w:val="28"/>
          <w:szCs w:val="28"/>
        </w:rPr>
        <w:t>Эпидемиология. Основные причины. Патогенез.</w:t>
      </w:r>
      <w:r>
        <w:rPr>
          <w:b/>
          <w:sz w:val="28"/>
          <w:szCs w:val="28"/>
        </w:rPr>
        <w:t xml:space="preserve"> Классификация.</w:t>
      </w:r>
      <w:r w:rsidR="001E0BF5">
        <w:rPr>
          <w:b/>
          <w:sz w:val="28"/>
          <w:szCs w:val="28"/>
        </w:rPr>
        <w:t xml:space="preserve"> (2)</w:t>
      </w:r>
    </w:p>
    <w:p w:rsidR="00D62C6B" w:rsidRPr="00CB5415" w:rsidRDefault="00D62C6B" w:rsidP="00D62C6B">
      <w:pPr>
        <w:pStyle w:val="4"/>
        <w:shd w:val="clear" w:color="auto" w:fill="auto"/>
        <w:spacing w:line="240" w:lineRule="auto"/>
        <w:ind w:left="34" w:firstLine="0"/>
        <w:jc w:val="center"/>
        <w:rPr>
          <w:bCs/>
          <w:sz w:val="28"/>
          <w:szCs w:val="28"/>
        </w:rPr>
      </w:pPr>
    </w:p>
    <w:p w:rsidR="00D62C6B" w:rsidRPr="00CB5415" w:rsidRDefault="00D62C6B" w:rsidP="00D62C6B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B5415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D62C6B" w:rsidRPr="00CB5415" w:rsidRDefault="00D62C6B" w:rsidP="00D62C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B5415">
        <w:rPr>
          <w:rFonts w:ascii="Times New Roman" w:hAnsi="Times New Roman"/>
          <w:color w:val="000000"/>
          <w:sz w:val="28"/>
          <w:szCs w:val="28"/>
        </w:rPr>
        <w:t xml:space="preserve">углубить знания по </w:t>
      </w:r>
      <w:r>
        <w:rPr>
          <w:rFonts w:ascii="Times New Roman" w:hAnsi="Times New Roman"/>
          <w:color w:val="000000"/>
          <w:sz w:val="28"/>
          <w:szCs w:val="28"/>
        </w:rPr>
        <w:t>этиологии, патогенезу сердечной недостаточности.</w:t>
      </w:r>
      <w:r w:rsidRPr="00CB54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C6B" w:rsidRPr="00CB5415" w:rsidRDefault="00D62C6B" w:rsidP="00D62C6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D62C6B" w:rsidRPr="00CB5415" w:rsidTr="00670D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62C6B" w:rsidRPr="00CB5415" w:rsidTr="00670D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6B" w:rsidRPr="00CB5415" w:rsidRDefault="00D62C6B" w:rsidP="00670D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62C6B" w:rsidRPr="00CB5415" w:rsidRDefault="00D62C6B" w:rsidP="00670D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2C6B" w:rsidRPr="00CB5415" w:rsidRDefault="00D62C6B" w:rsidP="00670D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D62C6B" w:rsidRPr="00CB5415" w:rsidTr="00670D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62C6B" w:rsidRPr="00CB5415" w:rsidTr="00670D32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62C6B" w:rsidRPr="00CB5415" w:rsidRDefault="00D62C6B" w:rsidP="00670D32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:rsidR="00D62C6B" w:rsidRPr="00D62C6B" w:rsidRDefault="00D62C6B" w:rsidP="00983FB6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Эпидемиологические особенности ХСН в Российской Федерации (многоцентровое исследование ЭПОХА).</w:t>
            </w:r>
          </w:p>
          <w:p w:rsidR="00D62C6B" w:rsidRPr="00D62C6B" w:rsidRDefault="00D62C6B" w:rsidP="00983FB6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Систолический миокардиальный стресс и его значение для прогрессирования структурно-геометрических нарушений при хронической сердечной недостаточности.</w:t>
            </w:r>
          </w:p>
          <w:p w:rsidR="00D62C6B" w:rsidRPr="00D62C6B" w:rsidRDefault="00D62C6B" w:rsidP="00983FB6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Диастолическая дисфункция левого желудочка, ее виды, критерии оценки.</w:t>
            </w:r>
          </w:p>
          <w:p w:rsidR="00D62C6B" w:rsidRDefault="00D62C6B" w:rsidP="00983FB6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ХСН. Классификация В.Х. Василенко и Н.Д. Стражеско. Классификация ХСН NYHA.</w:t>
            </w: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62C6B" w:rsidRDefault="00D62C6B" w:rsidP="00983FB6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Клинические методы оценки тяжести ХСН (оценка клинического состояния, динамики функционального класса, толерантности к нагрузкам, оценка качества жизни)</w:t>
            </w:r>
          </w:p>
          <w:p w:rsidR="001E0BF5" w:rsidRPr="00D62C6B" w:rsidRDefault="001E0BF5" w:rsidP="001E0BF5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теста с 6-минутной ходьбой у больных с ХСН, его информативность.</w:t>
            </w:r>
          </w:p>
          <w:p w:rsidR="00D62C6B" w:rsidRPr="00CB5415" w:rsidRDefault="00D62C6B" w:rsidP="00670D32">
            <w:pPr>
              <w:pStyle w:val="a4"/>
              <w:ind w:left="392" w:firstLine="0"/>
              <w:rPr>
                <w:sz w:val="28"/>
                <w:szCs w:val="28"/>
              </w:rPr>
            </w:pPr>
          </w:p>
        </w:tc>
      </w:tr>
      <w:tr w:rsidR="00D62C6B" w:rsidRPr="00CB5415" w:rsidTr="00670D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C6B" w:rsidRPr="00CB5415" w:rsidRDefault="00D62C6B" w:rsidP="00670D32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2C6B" w:rsidRPr="00CB5415" w:rsidRDefault="00D62C6B" w:rsidP="00670D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D62C6B" w:rsidRPr="00CB5415" w:rsidRDefault="00D62C6B" w:rsidP="00D62C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2C6B" w:rsidRPr="00CB5415" w:rsidRDefault="00D62C6B" w:rsidP="00D62C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62C6B" w:rsidRPr="00CB5415" w:rsidRDefault="00D62C6B" w:rsidP="00D62C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color w:val="000000"/>
          <w:sz w:val="28"/>
          <w:szCs w:val="28"/>
        </w:rPr>
        <w:t>- дидактические: схемы;</w:t>
      </w:r>
    </w:p>
    <w:p w:rsidR="00D62C6B" w:rsidRPr="00CB5415" w:rsidRDefault="00D62C6B" w:rsidP="00D62C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доска.</w:t>
      </w:r>
    </w:p>
    <w:p w:rsidR="00D62C6B" w:rsidRPr="00CB5415" w:rsidRDefault="00D62C6B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C8F" w:rsidRPr="00CB5415" w:rsidRDefault="00D60C8F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C8F" w:rsidRPr="00CB5415" w:rsidRDefault="00D62C6B" w:rsidP="0016549D">
      <w:pPr>
        <w:ind w:left="1620" w:hanging="16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D60C8F" w:rsidRPr="00CB541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6549D" w:rsidRPr="0016549D">
        <w:rPr>
          <w:rFonts w:ascii="Times New Roman" w:hAnsi="Times New Roman"/>
          <w:b/>
          <w:sz w:val="28"/>
          <w:szCs w:val="28"/>
        </w:rPr>
        <w:t>Принципы лечения ХСН. Цели лечения. Немеди</w:t>
      </w:r>
      <w:r w:rsidR="0016549D">
        <w:rPr>
          <w:rFonts w:ascii="Times New Roman" w:hAnsi="Times New Roman"/>
          <w:b/>
          <w:sz w:val="28"/>
          <w:szCs w:val="28"/>
        </w:rPr>
        <w:t xml:space="preserve">каментозные компоненты лечения. </w:t>
      </w:r>
      <w:r w:rsidR="0016549D" w:rsidRPr="0016549D">
        <w:rPr>
          <w:rFonts w:ascii="Times New Roman" w:hAnsi="Times New Roman"/>
          <w:b/>
          <w:sz w:val="28"/>
          <w:szCs w:val="28"/>
        </w:rPr>
        <w:t>Медикаментозная терапия</w:t>
      </w:r>
      <w:r w:rsidR="001036E8">
        <w:rPr>
          <w:rFonts w:ascii="Times New Roman" w:hAnsi="Times New Roman"/>
          <w:b/>
          <w:sz w:val="28"/>
          <w:szCs w:val="28"/>
        </w:rPr>
        <w:t xml:space="preserve"> – ингибиторы АПФ, диуретики</w:t>
      </w:r>
      <w:r w:rsidR="0016549D" w:rsidRPr="0016549D">
        <w:rPr>
          <w:rFonts w:ascii="Times New Roman" w:hAnsi="Times New Roman"/>
          <w:b/>
          <w:sz w:val="28"/>
          <w:szCs w:val="28"/>
        </w:rPr>
        <w:t>.</w:t>
      </w:r>
      <w:r w:rsidR="00D60C8F" w:rsidRPr="00CB5415">
        <w:rPr>
          <w:rFonts w:ascii="Times New Roman" w:hAnsi="Times New Roman"/>
          <w:b/>
          <w:sz w:val="28"/>
          <w:szCs w:val="28"/>
        </w:rPr>
        <w:t xml:space="preserve"> </w:t>
      </w:r>
    </w:p>
    <w:p w:rsidR="00D60C8F" w:rsidRPr="00CB5415" w:rsidRDefault="00D60C8F" w:rsidP="00D60C8F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B5415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6D44FC" w:rsidRPr="00CB5415" w:rsidRDefault="00D60C8F" w:rsidP="006D44F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96A0E" w:rsidRPr="00CB54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5415"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 w:rsidR="006D44FC" w:rsidRPr="00CB541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6549D">
        <w:rPr>
          <w:rFonts w:ascii="Times New Roman" w:hAnsi="Times New Roman"/>
          <w:color w:val="000000"/>
          <w:sz w:val="28"/>
          <w:szCs w:val="28"/>
        </w:rPr>
        <w:t>п</w:t>
      </w:r>
      <w:r w:rsidR="001036E8">
        <w:rPr>
          <w:rFonts w:ascii="Times New Roman" w:hAnsi="Times New Roman"/>
          <w:color w:val="000000"/>
          <w:sz w:val="28"/>
          <w:szCs w:val="28"/>
        </w:rPr>
        <w:t>ринципам лечения и используемым</w:t>
      </w:r>
      <w:r w:rsidR="008578F0" w:rsidRPr="00CB5415">
        <w:rPr>
          <w:rFonts w:ascii="Times New Roman" w:hAnsi="Times New Roman"/>
          <w:color w:val="000000"/>
          <w:sz w:val="28"/>
          <w:szCs w:val="28"/>
        </w:rPr>
        <w:t xml:space="preserve"> лекарственным средствам</w:t>
      </w:r>
      <w:r w:rsidR="006D44FC" w:rsidRPr="00CB541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0C8F" w:rsidRPr="00CB5415" w:rsidRDefault="00D60C8F" w:rsidP="00D60C8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C8F" w:rsidRPr="00CB5415" w:rsidRDefault="00D60C8F" w:rsidP="00D60C8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D60C8F" w:rsidRPr="00CB5415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60C8F" w:rsidRPr="00CB5415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C8F" w:rsidRPr="00CB5415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60C8F" w:rsidRPr="00CB5415" w:rsidRDefault="00D60C8F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0C8F" w:rsidRPr="00CB5415" w:rsidRDefault="00D60C8F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60C8F" w:rsidRPr="00CB5415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60C8F" w:rsidRPr="00CB5415" w:rsidTr="00B156BD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60C8F" w:rsidRPr="00CB5415" w:rsidRDefault="00D60C8F" w:rsidP="00B156BD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:rsidR="004E29F3" w:rsidRPr="004E29F3" w:rsidRDefault="004E29F3" w:rsidP="004E29F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9F3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ХСН. Цели лечения. Немедикаментозные компоненты лечения.</w:t>
            </w:r>
          </w:p>
          <w:p w:rsidR="004E29F3" w:rsidRPr="004E29F3" w:rsidRDefault="004E29F3" w:rsidP="004E29F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9F3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ХСН. Медикаментозная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      </w:r>
          </w:p>
          <w:p w:rsidR="004E29F3" w:rsidRPr="004E29F3" w:rsidRDefault="004E29F3" w:rsidP="004E29F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9F3">
              <w:rPr>
                <w:rFonts w:ascii="Times New Roman" w:hAnsi="Times New Roman"/>
                <w:color w:val="000000"/>
                <w:sz w:val="28"/>
                <w:szCs w:val="28"/>
              </w:rPr>
              <w:t>Ингибиторы АПФ в лечении ХСН: механизм действия. Влияние применяемых в России ИАПФ на течение и прогноз ХСН. Данные многоцентровых клинических исследований (CONSENSUS, AIRE, SAVE, SOLVD)</w:t>
            </w:r>
          </w:p>
          <w:p w:rsidR="004E29F3" w:rsidRPr="004E29F3" w:rsidRDefault="004E29F3" w:rsidP="004E29F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9F3">
              <w:rPr>
                <w:rFonts w:ascii="Times New Roman" w:hAnsi="Times New Roman"/>
                <w:color w:val="000000"/>
                <w:sz w:val="28"/>
                <w:szCs w:val="28"/>
              </w:rPr>
              <w:t>Ингибиторы АПФ в лечении ХСН. Показания, противопоказания, побочные эффекты. Рациональный подбор дозы.</w:t>
            </w:r>
          </w:p>
          <w:p w:rsidR="004E29F3" w:rsidRPr="004E29F3" w:rsidRDefault="004E29F3" w:rsidP="004E29F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Диуретики в лечении ХСН. Общая характеристика. Показания к диуретической терапии при ХСН. Осмотические диуретики и ингибиторы карбоангидразы. </w:t>
            </w:r>
          </w:p>
          <w:p w:rsidR="004E29F3" w:rsidRPr="004E29F3" w:rsidRDefault="004E29F3" w:rsidP="004E29F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9F3">
              <w:rPr>
                <w:rFonts w:ascii="Times New Roman" w:hAnsi="Times New Roman"/>
                <w:color w:val="000000"/>
                <w:sz w:val="28"/>
                <w:szCs w:val="28"/>
              </w:rPr>
              <w:t>Диуретики, действующие на восходящую часть петли Генле.</w:t>
            </w:r>
          </w:p>
          <w:p w:rsidR="004E29F3" w:rsidRPr="004E29F3" w:rsidRDefault="004E29F3" w:rsidP="004E29F3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E29F3">
              <w:rPr>
                <w:rFonts w:ascii="Times New Roman" w:hAnsi="Times New Roman"/>
                <w:color w:val="000000"/>
                <w:sz w:val="28"/>
                <w:szCs w:val="28"/>
              </w:rPr>
              <w:t>Диуретики, действующие в области дистальных канальцев. Место альда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ктона в комплексной терапии ХСН.</w:t>
            </w:r>
          </w:p>
          <w:p w:rsidR="00D60C8F" w:rsidRPr="00CB5415" w:rsidRDefault="004E29F3" w:rsidP="004E29F3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4E29F3"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различных диуретиков. Преодоление рефрактерности к диуретикам. Экстракорпоральные методы в лечение рефрактерного отечного синдрома.</w:t>
            </w:r>
          </w:p>
        </w:tc>
      </w:tr>
      <w:tr w:rsidR="00D60C8F" w:rsidRPr="00CB5415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CB5415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0C8F" w:rsidRPr="00CB5415" w:rsidRDefault="00D60C8F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D60C8F" w:rsidRPr="00CB5415" w:rsidRDefault="00D60C8F" w:rsidP="00D60C8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C8F" w:rsidRPr="00CB5415" w:rsidRDefault="00D60C8F" w:rsidP="00D60C8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60C8F" w:rsidRPr="00CB5415" w:rsidRDefault="00D60C8F" w:rsidP="00D60C8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812B29" w:rsidRPr="00CB5415">
        <w:rPr>
          <w:rFonts w:ascii="Times New Roman" w:hAnsi="Times New Roman"/>
          <w:color w:val="000000"/>
          <w:sz w:val="28"/>
          <w:szCs w:val="28"/>
        </w:rPr>
        <w:t>схемы</w:t>
      </w:r>
    </w:p>
    <w:p w:rsidR="00D60C8F" w:rsidRPr="00CB5415" w:rsidRDefault="00D60C8F" w:rsidP="00D60C8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color w:val="000000"/>
          <w:sz w:val="28"/>
          <w:szCs w:val="28"/>
        </w:rPr>
        <w:t>-материально-технические: мел белый и цветной, доска.</w:t>
      </w:r>
    </w:p>
    <w:p w:rsidR="00D60C8F" w:rsidRPr="00CB5415" w:rsidRDefault="00D60C8F" w:rsidP="00D60C8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0AA" w:rsidRPr="00CB5415" w:rsidRDefault="00BC60AA" w:rsidP="00BC60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E1D" w:rsidRPr="00083888" w:rsidRDefault="00BC60AA" w:rsidP="00083888">
      <w:pPr>
        <w:pStyle w:val="4"/>
        <w:shd w:val="clear" w:color="auto" w:fill="auto"/>
        <w:spacing w:line="240" w:lineRule="auto"/>
        <w:ind w:left="34" w:firstLine="0"/>
        <w:jc w:val="center"/>
        <w:rPr>
          <w:b/>
          <w:sz w:val="28"/>
          <w:szCs w:val="28"/>
        </w:rPr>
      </w:pPr>
      <w:r w:rsidRPr="00CB5415">
        <w:rPr>
          <w:b/>
          <w:color w:val="000000"/>
          <w:sz w:val="28"/>
          <w:szCs w:val="28"/>
        </w:rPr>
        <w:t xml:space="preserve">Тема </w:t>
      </w:r>
      <w:r w:rsidR="00D62C6B">
        <w:rPr>
          <w:b/>
          <w:color w:val="000000"/>
          <w:sz w:val="28"/>
          <w:szCs w:val="28"/>
        </w:rPr>
        <w:t>4</w:t>
      </w:r>
      <w:r w:rsidRPr="00CB5415">
        <w:rPr>
          <w:b/>
          <w:color w:val="000000"/>
          <w:sz w:val="28"/>
          <w:szCs w:val="28"/>
        </w:rPr>
        <w:t xml:space="preserve">. </w:t>
      </w:r>
      <w:r w:rsidR="00083888" w:rsidRPr="00083888">
        <w:rPr>
          <w:b/>
          <w:sz w:val="28"/>
          <w:szCs w:val="28"/>
        </w:rPr>
        <w:t xml:space="preserve">Принципы лечения ХСН. Цели лечения. Медикаментозная терапия – </w:t>
      </w:r>
      <w:r w:rsidR="00083888">
        <w:rPr>
          <w:b/>
          <w:sz w:val="28"/>
          <w:szCs w:val="28"/>
        </w:rPr>
        <w:t>сердечные гликозиды, б-блокаторы, антагонисты рецепторов АТ-</w:t>
      </w:r>
      <w:r w:rsidR="00083888">
        <w:rPr>
          <w:b/>
          <w:sz w:val="28"/>
          <w:szCs w:val="28"/>
          <w:lang w:val="en-US"/>
        </w:rPr>
        <w:t>II</w:t>
      </w:r>
      <w:r w:rsidR="00083888" w:rsidRPr="00083888">
        <w:rPr>
          <w:b/>
          <w:sz w:val="28"/>
          <w:szCs w:val="28"/>
        </w:rPr>
        <w:t>.</w:t>
      </w:r>
    </w:p>
    <w:p w:rsidR="00BC60AA" w:rsidRPr="00CB5415" w:rsidRDefault="00BC60AA" w:rsidP="00867E1D">
      <w:pPr>
        <w:ind w:left="1620" w:hanging="1620"/>
        <w:jc w:val="center"/>
        <w:rPr>
          <w:rFonts w:ascii="Times New Roman" w:hAnsi="Times New Roman"/>
          <w:b/>
          <w:sz w:val="28"/>
          <w:szCs w:val="28"/>
        </w:rPr>
      </w:pPr>
    </w:p>
    <w:p w:rsidR="00BC60AA" w:rsidRPr="00CB5415" w:rsidRDefault="00BC60AA" w:rsidP="00BC60AA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CB5415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BC60AA" w:rsidRPr="00083888" w:rsidRDefault="00BC60AA" w:rsidP="0008388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083888" w:rsidRPr="00083888">
        <w:rPr>
          <w:rFonts w:ascii="Times New Roman" w:hAnsi="Times New Roman"/>
          <w:color w:val="000000"/>
          <w:sz w:val="28"/>
          <w:szCs w:val="28"/>
        </w:rPr>
        <w:t>углубить знания по принципам лечения и используемым лекарственным средствам.</w:t>
      </w:r>
    </w:p>
    <w:p w:rsidR="00BC60AA" w:rsidRPr="00CB5415" w:rsidRDefault="00BC60AA" w:rsidP="00BC60A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BC60AA" w:rsidRPr="00CB5415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43276"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BC60AA" w:rsidRPr="00CB5415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0AA" w:rsidRPr="00CB5415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BC60AA" w:rsidRPr="00CB5415" w:rsidRDefault="00BC60AA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60AA" w:rsidRPr="00CB5415" w:rsidRDefault="00BC60AA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60AA" w:rsidRPr="00CB5415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BC60AA" w:rsidRPr="00CB5415" w:rsidTr="00B156BD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60AA" w:rsidRPr="00CB5415" w:rsidRDefault="00BC60AA" w:rsidP="00B156BD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:rsidR="00083888" w:rsidRPr="00083888" w:rsidRDefault="00083888" w:rsidP="00083888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888">
              <w:rPr>
                <w:rFonts w:ascii="Times New Roman" w:hAnsi="Times New Roman"/>
                <w:color w:val="000000"/>
                <w:sz w:val="28"/>
                <w:szCs w:val="28"/>
              </w:rPr>
              <w:t>Сердечные гликозиды в лечении ХСН. Механизмы действия. Группы. Показания к назначению. Влияние на прогноз. Оптимальные дозы в лечение ХСН. Клиника гликозидной интоксикации и ее лечение.</w:t>
            </w:r>
          </w:p>
          <w:p w:rsidR="00083888" w:rsidRPr="00083888" w:rsidRDefault="00083888" w:rsidP="00083888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888">
              <w:rPr>
                <w:rFonts w:ascii="Times New Roman" w:hAnsi="Times New Roman"/>
                <w:color w:val="000000"/>
                <w:sz w:val="28"/>
                <w:szCs w:val="28"/>
              </w:rPr>
              <w:t>Негликозидные инотропные средства в лечении больных с тяжелой ХСН.</w:t>
            </w:r>
          </w:p>
          <w:p w:rsidR="00083888" w:rsidRPr="00083888" w:rsidRDefault="00083888" w:rsidP="00083888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888">
              <w:rPr>
                <w:rFonts w:ascii="Times New Roman" w:hAnsi="Times New Roman"/>
                <w:color w:val="000000"/>
                <w:sz w:val="28"/>
                <w:szCs w:val="28"/>
              </w:rPr>
              <w:t>В-дреноблокаторы (БАБ) в лечении ХСН. Эволюция взглядов на возможность и показания к применению БАБ при ХСН. Механизмы положительного действия БАБ у больных ХСН.</w:t>
            </w:r>
          </w:p>
          <w:p w:rsidR="00083888" w:rsidRPr="00083888" w:rsidRDefault="00083888" w:rsidP="00083888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88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клинических исследований (CIBIS-II, MERIT-HF, BEST, COPERNICUS)</w:t>
            </w:r>
          </w:p>
          <w:p w:rsidR="00083888" w:rsidRPr="00083888" w:rsidRDefault="00083888" w:rsidP="00083888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888">
              <w:rPr>
                <w:rFonts w:ascii="Times New Roman" w:hAnsi="Times New Roman"/>
                <w:color w:val="000000"/>
                <w:sz w:val="28"/>
                <w:szCs w:val="28"/>
              </w:rPr>
              <w:t>Фармакологические группы. Показания и противопоказания. Тактика применения.</w:t>
            </w:r>
          </w:p>
          <w:p w:rsidR="00083888" w:rsidRPr="00083888" w:rsidRDefault="00083888" w:rsidP="00083888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Антагонисты рецепторов к АТ-II. Предпосылки применения. Фармакологические механизмы действия. Данные международных клинических исследований (ELITE, ELITE-II, VAL-HEFT, RESOLVD). Место в медикаментозном лечении ХСН. </w:t>
            </w:r>
          </w:p>
          <w:p w:rsidR="00083888" w:rsidRPr="00083888" w:rsidRDefault="00083888" w:rsidP="00083888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888">
              <w:rPr>
                <w:rFonts w:ascii="Times New Roman" w:hAnsi="Times New Roman"/>
                <w:color w:val="000000"/>
                <w:sz w:val="28"/>
                <w:szCs w:val="28"/>
              </w:rPr>
              <w:t>Принципы антиаритмического лечения при ХСН. Влияние различных классов антиаритмических препаратов на прогноз больных.</w:t>
            </w:r>
          </w:p>
          <w:p w:rsidR="00083888" w:rsidRPr="00083888" w:rsidRDefault="00083888" w:rsidP="00083888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888">
              <w:rPr>
                <w:rFonts w:ascii="Times New Roman" w:hAnsi="Times New Roman"/>
                <w:color w:val="000000"/>
                <w:sz w:val="28"/>
                <w:szCs w:val="28"/>
              </w:rPr>
              <w:t>Периферические вазодилататоры. Классификация по локализации преимущественного эффекта. Классификация по механизму действия. Исторические предпосылки к применению их при ХСН. Влияние на прогноз. Современные представления о месте ПВД в лечении ХСН.</w:t>
            </w:r>
          </w:p>
          <w:p w:rsidR="00BC60AA" w:rsidRPr="00CB5415" w:rsidRDefault="00BC60AA" w:rsidP="00EA338B">
            <w:pPr>
              <w:numPr>
                <w:ilvl w:val="0"/>
                <w:numId w:val="27"/>
              </w:numPr>
              <w:tabs>
                <w:tab w:val="left" w:pos="290"/>
                <w:tab w:val="left" w:pos="575"/>
                <w:tab w:val="left" w:pos="1134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60AA" w:rsidRPr="00CB5415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CB5415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60AA" w:rsidRPr="00CB5415" w:rsidRDefault="00BC60AA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41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BC60AA" w:rsidRPr="00CB5415" w:rsidRDefault="00BC60AA" w:rsidP="00BC60A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60AA" w:rsidRPr="00CB5415" w:rsidRDefault="00BC60AA" w:rsidP="00BC60A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41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60AA" w:rsidRPr="00CB5415" w:rsidRDefault="00BC60AA" w:rsidP="00BC60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2429EB" w:rsidRPr="00CB5415">
        <w:rPr>
          <w:rFonts w:ascii="Times New Roman" w:hAnsi="Times New Roman"/>
          <w:color w:val="000000"/>
          <w:sz w:val="28"/>
          <w:szCs w:val="28"/>
        </w:rPr>
        <w:t>схемы</w:t>
      </w:r>
    </w:p>
    <w:p w:rsidR="00BC60AA" w:rsidRPr="00CB5415" w:rsidRDefault="00BC60AA" w:rsidP="00BC60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15">
        <w:rPr>
          <w:rFonts w:ascii="Times New Roman" w:hAnsi="Times New Roman"/>
          <w:color w:val="000000"/>
          <w:sz w:val="28"/>
          <w:szCs w:val="28"/>
        </w:rPr>
        <w:t>-материально-технические: мел белый и цветной, доска.</w:t>
      </w:r>
    </w:p>
    <w:p w:rsidR="00D60C8F" w:rsidRPr="00CB5415" w:rsidRDefault="00D60C8F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60C8F" w:rsidRPr="00CB5415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C5" w:rsidRDefault="008A2BC5" w:rsidP="00CF7355">
      <w:pPr>
        <w:spacing w:after="0" w:line="240" w:lineRule="auto"/>
      </w:pPr>
      <w:r>
        <w:separator/>
      </w:r>
    </w:p>
  </w:endnote>
  <w:endnote w:type="continuationSeparator" w:id="0">
    <w:p w:rsidR="008A2BC5" w:rsidRDefault="008A2BC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5559CB" w:rsidRDefault="00306361">
        <w:pPr>
          <w:pStyle w:val="aa"/>
          <w:jc w:val="right"/>
        </w:pPr>
        <w:r>
          <w:fldChar w:fldCharType="begin"/>
        </w:r>
        <w:r w:rsidR="005559CB">
          <w:instrText>PAGE   \* MERGEFORMAT</w:instrText>
        </w:r>
        <w:r>
          <w:fldChar w:fldCharType="separate"/>
        </w:r>
        <w:r w:rsidR="003B6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C5" w:rsidRDefault="008A2BC5" w:rsidP="00CF7355">
      <w:pPr>
        <w:spacing w:after="0" w:line="240" w:lineRule="auto"/>
      </w:pPr>
      <w:r>
        <w:separator/>
      </w:r>
    </w:p>
  </w:footnote>
  <w:footnote w:type="continuationSeparator" w:id="0">
    <w:p w:rsidR="008A2BC5" w:rsidRDefault="008A2BC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4B22"/>
    <w:multiLevelType w:val="hybridMultilevel"/>
    <w:tmpl w:val="4F327FEE"/>
    <w:lvl w:ilvl="0" w:tplc="846CC8D0">
      <w:start w:val="1"/>
      <w:numFmt w:val="decimal"/>
      <w:lvlText w:val="%1."/>
      <w:lvlJc w:val="left"/>
      <w:pPr>
        <w:ind w:left="7" w:hanging="1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3D0019"/>
    <w:multiLevelType w:val="hybridMultilevel"/>
    <w:tmpl w:val="D37019FC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1FA2F8C"/>
    <w:multiLevelType w:val="hybridMultilevel"/>
    <w:tmpl w:val="AED2533C"/>
    <w:lvl w:ilvl="0" w:tplc="9A6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63B8"/>
    <w:multiLevelType w:val="hybridMultilevel"/>
    <w:tmpl w:val="9BDE0DE4"/>
    <w:lvl w:ilvl="0" w:tplc="04190001">
      <w:start w:val="1"/>
      <w:numFmt w:val="bullet"/>
      <w:lvlText w:val=""/>
      <w:lvlJc w:val="left"/>
      <w:pPr>
        <w:ind w:left="7" w:hanging="1425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1" w15:restartNumberingAfterBreak="0">
    <w:nsid w:val="2884787F"/>
    <w:multiLevelType w:val="hybridMultilevel"/>
    <w:tmpl w:val="C7767864"/>
    <w:lvl w:ilvl="0" w:tplc="6C101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C0D30"/>
    <w:multiLevelType w:val="hybridMultilevel"/>
    <w:tmpl w:val="3336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9322EE"/>
    <w:multiLevelType w:val="hybridMultilevel"/>
    <w:tmpl w:val="5C88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3415717"/>
    <w:multiLevelType w:val="hybridMultilevel"/>
    <w:tmpl w:val="CF940D0A"/>
    <w:lvl w:ilvl="0" w:tplc="6610FC08">
      <w:start w:val="1"/>
      <w:numFmt w:val="decimal"/>
      <w:lvlText w:val="%1."/>
      <w:lvlJc w:val="left"/>
      <w:pPr>
        <w:ind w:left="42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062C3"/>
    <w:multiLevelType w:val="hybridMultilevel"/>
    <w:tmpl w:val="C7767864"/>
    <w:lvl w:ilvl="0" w:tplc="6C101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13DD8"/>
    <w:multiLevelType w:val="hybridMultilevel"/>
    <w:tmpl w:val="A210ECEE"/>
    <w:lvl w:ilvl="0" w:tplc="6C101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900DA"/>
    <w:multiLevelType w:val="hybridMultilevel"/>
    <w:tmpl w:val="B04CF518"/>
    <w:lvl w:ilvl="0" w:tplc="C080807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5"/>
  </w:num>
  <w:num w:numId="5">
    <w:abstractNumId w:val="15"/>
  </w:num>
  <w:num w:numId="6">
    <w:abstractNumId w:val="26"/>
  </w:num>
  <w:num w:numId="7">
    <w:abstractNumId w:val="19"/>
  </w:num>
  <w:num w:numId="8">
    <w:abstractNumId w:val="5"/>
  </w:num>
  <w:num w:numId="9">
    <w:abstractNumId w:val="28"/>
  </w:num>
  <w:num w:numId="10">
    <w:abstractNumId w:val="0"/>
  </w:num>
  <w:num w:numId="11">
    <w:abstractNumId w:val="23"/>
  </w:num>
  <w:num w:numId="12">
    <w:abstractNumId w:val="7"/>
  </w:num>
  <w:num w:numId="13">
    <w:abstractNumId w:val="29"/>
  </w:num>
  <w:num w:numId="14">
    <w:abstractNumId w:val="2"/>
  </w:num>
  <w:num w:numId="15">
    <w:abstractNumId w:val="22"/>
  </w:num>
  <w:num w:numId="16">
    <w:abstractNumId w:val="3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10"/>
  </w:num>
  <w:num w:numId="22">
    <w:abstractNumId w:val="6"/>
  </w:num>
  <w:num w:numId="23">
    <w:abstractNumId w:val="17"/>
  </w:num>
  <w:num w:numId="24">
    <w:abstractNumId w:val="13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</w:num>
  <w:num w:numId="28">
    <w:abstractNumId w:val="9"/>
  </w:num>
  <w:num w:numId="29">
    <w:abstractNumId w:val="21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1676"/>
    <w:rsid w:val="0003373C"/>
    <w:rsid w:val="00033E96"/>
    <w:rsid w:val="00065659"/>
    <w:rsid w:val="0007170B"/>
    <w:rsid w:val="000735AC"/>
    <w:rsid w:val="00083888"/>
    <w:rsid w:val="0008490D"/>
    <w:rsid w:val="000A2C48"/>
    <w:rsid w:val="000A503C"/>
    <w:rsid w:val="000B2238"/>
    <w:rsid w:val="000D2DD2"/>
    <w:rsid w:val="000D6AF6"/>
    <w:rsid w:val="000F0B79"/>
    <w:rsid w:val="001036E8"/>
    <w:rsid w:val="00104C6C"/>
    <w:rsid w:val="001262B7"/>
    <w:rsid w:val="00136B7E"/>
    <w:rsid w:val="0014532D"/>
    <w:rsid w:val="00145D7C"/>
    <w:rsid w:val="0015069F"/>
    <w:rsid w:val="0016002D"/>
    <w:rsid w:val="00160E66"/>
    <w:rsid w:val="00163527"/>
    <w:rsid w:val="0016549D"/>
    <w:rsid w:val="001767E4"/>
    <w:rsid w:val="00180442"/>
    <w:rsid w:val="00191A79"/>
    <w:rsid w:val="001A6629"/>
    <w:rsid w:val="001C528A"/>
    <w:rsid w:val="001D775A"/>
    <w:rsid w:val="001E0BF5"/>
    <w:rsid w:val="001E56D0"/>
    <w:rsid w:val="00201B9E"/>
    <w:rsid w:val="0020215C"/>
    <w:rsid w:val="00217D11"/>
    <w:rsid w:val="00225A11"/>
    <w:rsid w:val="002429EB"/>
    <w:rsid w:val="002530A0"/>
    <w:rsid w:val="0026456C"/>
    <w:rsid w:val="002648DD"/>
    <w:rsid w:val="002729F3"/>
    <w:rsid w:val="002749B5"/>
    <w:rsid w:val="00283885"/>
    <w:rsid w:val="002B5FA7"/>
    <w:rsid w:val="002D1BAC"/>
    <w:rsid w:val="00305C98"/>
    <w:rsid w:val="003062AE"/>
    <w:rsid w:val="00306361"/>
    <w:rsid w:val="00321A77"/>
    <w:rsid w:val="003314E4"/>
    <w:rsid w:val="003378FF"/>
    <w:rsid w:val="00387FE9"/>
    <w:rsid w:val="003A7817"/>
    <w:rsid w:val="003A7977"/>
    <w:rsid w:val="003B2AD9"/>
    <w:rsid w:val="003B6BAC"/>
    <w:rsid w:val="003D4C9B"/>
    <w:rsid w:val="003F2157"/>
    <w:rsid w:val="00400A75"/>
    <w:rsid w:val="004069B8"/>
    <w:rsid w:val="0042100C"/>
    <w:rsid w:val="00456CC5"/>
    <w:rsid w:val="004711E5"/>
    <w:rsid w:val="00475620"/>
    <w:rsid w:val="00497B7A"/>
    <w:rsid w:val="004A3ACF"/>
    <w:rsid w:val="004A4BED"/>
    <w:rsid w:val="004B6453"/>
    <w:rsid w:val="004C1216"/>
    <w:rsid w:val="004E29F3"/>
    <w:rsid w:val="004E4783"/>
    <w:rsid w:val="00511905"/>
    <w:rsid w:val="00555372"/>
    <w:rsid w:val="005559CB"/>
    <w:rsid w:val="0056433C"/>
    <w:rsid w:val="00576CA2"/>
    <w:rsid w:val="00586A55"/>
    <w:rsid w:val="005913A0"/>
    <w:rsid w:val="005A2BF0"/>
    <w:rsid w:val="00612BF5"/>
    <w:rsid w:val="00616B40"/>
    <w:rsid w:val="00620385"/>
    <w:rsid w:val="006220F4"/>
    <w:rsid w:val="00632E01"/>
    <w:rsid w:val="0063330B"/>
    <w:rsid w:val="00685A36"/>
    <w:rsid w:val="00696A0E"/>
    <w:rsid w:val="00697C95"/>
    <w:rsid w:val="006A0CAE"/>
    <w:rsid w:val="006A1E08"/>
    <w:rsid w:val="006D44FC"/>
    <w:rsid w:val="006D5230"/>
    <w:rsid w:val="00707832"/>
    <w:rsid w:val="00707CB4"/>
    <w:rsid w:val="007204EA"/>
    <w:rsid w:val="00734F77"/>
    <w:rsid w:val="0075623B"/>
    <w:rsid w:val="00770B9D"/>
    <w:rsid w:val="00774A23"/>
    <w:rsid w:val="0078304F"/>
    <w:rsid w:val="00786937"/>
    <w:rsid w:val="007920E9"/>
    <w:rsid w:val="007943B1"/>
    <w:rsid w:val="0079716A"/>
    <w:rsid w:val="007B2F69"/>
    <w:rsid w:val="007B7D03"/>
    <w:rsid w:val="007E0263"/>
    <w:rsid w:val="007F223A"/>
    <w:rsid w:val="007F519A"/>
    <w:rsid w:val="007F7D77"/>
    <w:rsid w:val="00812B29"/>
    <w:rsid w:val="00830DC4"/>
    <w:rsid w:val="008314E2"/>
    <w:rsid w:val="0084536B"/>
    <w:rsid w:val="00853C53"/>
    <w:rsid w:val="00855B1B"/>
    <w:rsid w:val="008578F0"/>
    <w:rsid w:val="00857F40"/>
    <w:rsid w:val="00864266"/>
    <w:rsid w:val="00867E1D"/>
    <w:rsid w:val="008A2BC5"/>
    <w:rsid w:val="008A74B7"/>
    <w:rsid w:val="008B5829"/>
    <w:rsid w:val="008C3A17"/>
    <w:rsid w:val="00901053"/>
    <w:rsid w:val="009106BF"/>
    <w:rsid w:val="00912B46"/>
    <w:rsid w:val="00943E45"/>
    <w:rsid w:val="00951144"/>
    <w:rsid w:val="00956275"/>
    <w:rsid w:val="009652A1"/>
    <w:rsid w:val="00983FB6"/>
    <w:rsid w:val="0098493E"/>
    <w:rsid w:val="00992E8F"/>
    <w:rsid w:val="009A2ED3"/>
    <w:rsid w:val="009C17CB"/>
    <w:rsid w:val="009C48D2"/>
    <w:rsid w:val="009E4060"/>
    <w:rsid w:val="00A43276"/>
    <w:rsid w:val="00A444EA"/>
    <w:rsid w:val="00A45FDC"/>
    <w:rsid w:val="00A47FE1"/>
    <w:rsid w:val="00A55192"/>
    <w:rsid w:val="00AB2364"/>
    <w:rsid w:val="00AD78E2"/>
    <w:rsid w:val="00AE75A9"/>
    <w:rsid w:val="00B00709"/>
    <w:rsid w:val="00B47C22"/>
    <w:rsid w:val="00B665E4"/>
    <w:rsid w:val="00B80092"/>
    <w:rsid w:val="00B84F6B"/>
    <w:rsid w:val="00BC60AA"/>
    <w:rsid w:val="00BC782B"/>
    <w:rsid w:val="00BD48BF"/>
    <w:rsid w:val="00BD661B"/>
    <w:rsid w:val="00BF00A7"/>
    <w:rsid w:val="00BF3CAC"/>
    <w:rsid w:val="00C05E63"/>
    <w:rsid w:val="00C33FB9"/>
    <w:rsid w:val="00C8569A"/>
    <w:rsid w:val="00C9332A"/>
    <w:rsid w:val="00CA4719"/>
    <w:rsid w:val="00CB5415"/>
    <w:rsid w:val="00CD13AB"/>
    <w:rsid w:val="00CE700F"/>
    <w:rsid w:val="00CF7355"/>
    <w:rsid w:val="00D06F6F"/>
    <w:rsid w:val="00D34996"/>
    <w:rsid w:val="00D5034E"/>
    <w:rsid w:val="00D57DEF"/>
    <w:rsid w:val="00D60C8F"/>
    <w:rsid w:val="00D62C6B"/>
    <w:rsid w:val="00D71029"/>
    <w:rsid w:val="00D741C9"/>
    <w:rsid w:val="00D7548B"/>
    <w:rsid w:val="00D76359"/>
    <w:rsid w:val="00D92167"/>
    <w:rsid w:val="00D97ECC"/>
    <w:rsid w:val="00DA1FE4"/>
    <w:rsid w:val="00DB7F1E"/>
    <w:rsid w:val="00DC45A7"/>
    <w:rsid w:val="00DF29E9"/>
    <w:rsid w:val="00DF4CAF"/>
    <w:rsid w:val="00DF78F0"/>
    <w:rsid w:val="00E10906"/>
    <w:rsid w:val="00E145F0"/>
    <w:rsid w:val="00E2028B"/>
    <w:rsid w:val="00E23E56"/>
    <w:rsid w:val="00E261B1"/>
    <w:rsid w:val="00E325EF"/>
    <w:rsid w:val="00E47EA3"/>
    <w:rsid w:val="00E70924"/>
    <w:rsid w:val="00E72595"/>
    <w:rsid w:val="00EA338B"/>
    <w:rsid w:val="00EB1CBB"/>
    <w:rsid w:val="00EB740E"/>
    <w:rsid w:val="00ED0300"/>
    <w:rsid w:val="00ED3EDB"/>
    <w:rsid w:val="00EF59D3"/>
    <w:rsid w:val="00F1109F"/>
    <w:rsid w:val="00F156F8"/>
    <w:rsid w:val="00F177EA"/>
    <w:rsid w:val="00F328BE"/>
    <w:rsid w:val="00F411D2"/>
    <w:rsid w:val="00F664E0"/>
    <w:rsid w:val="00F66C7A"/>
    <w:rsid w:val="00F67D45"/>
    <w:rsid w:val="00F73DC9"/>
    <w:rsid w:val="00F9115B"/>
    <w:rsid w:val="00FA5D02"/>
    <w:rsid w:val="00FB54AB"/>
    <w:rsid w:val="00FC03FD"/>
    <w:rsid w:val="00FC68FC"/>
    <w:rsid w:val="00FD1DC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52B5-6BE5-461C-9FED-74C4ECC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f4">
    <w:name w:val="Основной текст_"/>
    <w:link w:val="4"/>
    <w:rsid w:val="0055537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4"/>
    <w:rsid w:val="00555372"/>
    <w:pPr>
      <w:widowControl w:val="0"/>
      <w:shd w:val="clear" w:color="auto" w:fill="FFFFFF"/>
      <w:spacing w:after="0" w:line="413" w:lineRule="exact"/>
      <w:ind w:hanging="360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af5">
    <w:name w:val="Основной текст + Полужирный"/>
    <w:aliases w:val="Интервал 0 pt"/>
    <w:rsid w:val="007830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4"/>
    <w:rsid w:val="0073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s21032431@gmail.com</cp:lastModifiedBy>
  <cp:revision>100</cp:revision>
  <cp:lastPrinted>2019-02-05T10:00:00Z</cp:lastPrinted>
  <dcterms:created xsi:type="dcterms:W3CDTF">2019-09-03T10:06:00Z</dcterms:created>
  <dcterms:modified xsi:type="dcterms:W3CDTF">2019-10-08T02:19:00Z</dcterms:modified>
</cp:coreProperties>
</file>