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B7D4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B7D4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B7D4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B7D4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Default="004B2C94" w:rsidP="00DB7D43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DB7D43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DB7D43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DB7D43">
      <w:pPr>
        <w:jc w:val="center"/>
        <w:rPr>
          <w:sz w:val="28"/>
        </w:rPr>
      </w:pPr>
    </w:p>
    <w:p w:rsidR="00C15AAC" w:rsidRDefault="001273D8" w:rsidP="00DB7D43">
      <w:pPr>
        <w:jc w:val="center"/>
        <w:rPr>
          <w:b/>
          <w:sz w:val="28"/>
        </w:rPr>
      </w:pPr>
      <w:r w:rsidRPr="005C117C">
        <w:rPr>
          <w:b/>
          <w:sz w:val="28"/>
        </w:rPr>
        <w:t>ПОЛИОРГАННАЯ НЕДОСТАТОЧНОСТЬ У ПАЦИЕНТОВ С КРИТИЧЕСКИМИ СОСТОЯНИЯМИ</w:t>
      </w:r>
    </w:p>
    <w:p w:rsidR="001273D8" w:rsidRPr="004B2C94" w:rsidRDefault="001273D8" w:rsidP="00DB7D43">
      <w:pPr>
        <w:jc w:val="center"/>
        <w:rPr>
          <w:sz w:val="28"/>
        </w:rPr>
      </w:pPr>
    </w:p>
    <w:p w:rsidR="00DB7D43" w:rsidRPr="00AB6CE5" w:rsidRDefault="00DB7D43" w:rsidP="00DB7D43">
      <w:pPr>
        <w:jc w:val="center"/>
        <w:rPr>
          <w:color w:val="000000"/>
          <w:sz w:val="28"/>
          <w:szCs w:val="28"/>
        </w:rPr>
      </w:pPr>
      <w:proofErr w:type="gramStart"/>
      <w:r w:rsidRPr="00AB6CE5">
        <w:rPr>
          <w:color w:val="000000"/>
          <w:sz w:val="28"/>
          <w:szCs w:val="28"/>
        </w:rPr>
        <w:t>по</w:t>
      </w:r>
      <w:proofErr w:type="gramEnd"/>
      <w:r w:rsidRPr="00AB6CE5">
        <w:rPr>
          <w:color w:val="000000"/>
          <w:sz w:val="28"/>
          <w:szCs w:val="28"/>
        </w:rPr>
        <w:t xml:space="preserve"> направлению подготовки</w:t>
      </w:r>
    </w:p>
    <w:p w:rsidR="004B2C94" w:rsidRPr="004B2C94" w:rsidRDefault="004B2C94" w:rsidP="00DB7D43">
      <w:pPr>
        <w:jc w:val="center"/>
        <w:rPr>
          <w:sz w:val="28"/>
        </w:rPr>
      </w:pPr>
    </w:p>
    <w:p w:rsidR="00DB7D43" w:rsidRDefault="00C15AAC" w:rsidP="00DB7D43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31.0</w:t>
      </w:r>
      <w:r w:rsidR="00DB7D43">
        <w:rPr>
          <w:i/>
          <w:color w:val="000000"/>
          <w:sz w:val="28"/>
          <w:szCs w:val="28"/>
          <w:shd w:val="clear" w:color="auto" w:fill="FFFFFF"/>
        </w:rPr>
        <w:t>6</w:t>
      </w:r>
      <w:r w:rsidRPr="00C15AAC">
        <w:rPr>
          <w:i/>
          <w:color w:val="000000"/>
          <w:sz w:val="28"/>
          <w:szCs w:val="28"/>
          <w:shd w:val="clear" w:color="auto" w:fill="FFFFFF"/>
        </w:rPr>
        <w:t>.0</w:t>
      </w:r>
      <w:r w:rsidR="00DB7D43">
        <w:rPr>
          <w:i/>
          <w:color w:val="000000"/>
          <w:sz w:val="28"/>
          <w:szCs w:val="28"/>
          <w:shd w:val="clear" w:color="auto" w:fill="FFFFFF"/>
        </w:rPr>
        <w:t>1 Клиническая медицина</w:t>
      </w:r>
    </w:p>
    <w:p w:rsidR="00DB7D43" w:rsidRDefault="00DB7D43" w:rsidP="00DB7D43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6CE5">
        <w:rPr>
          <w:i/>
          <w:color w:val="000000"/>
          <w:sz w:val="28"/>
          <w:szCs w:val="28"/>
        </w:rPr>
        <w:t>направленность (профиль)</w:t>
      </w:r>
      <w:r w:rsidR="00C15AAC" w:rsidRPr="00C15AAC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B2C94" w:rsidRPr="00C15AAC" w:rsidRDefault="00C15AAC" w:rsidP="00DB7D43">
      <w:pPr>
        <w:jc w:val="center"/>
        <w:rPr>
          <w:i/>
          <w:sz w:val="28"/>
          <w:szCs w:val="28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Анестезиология-реаниматология</w:t>
      </w:r>
    </w:p>
    <w:p w:rsidR="004B2C94" w:rsidRDefault="004B2C94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C15AAC" w:rsidRPr="004B2C94" w:rsidRDefault="00C15AAC" w:rsidP="00DB7D43">
      <w:pPr>
        <w:jc w:val="center"/>
        <w:rPr>
          <w:sz w:val="28"/>
        </w:rPr>
      </w:pPr>
    </w:p>
    <w:p w:rsidR="00C15AAC" w:rsidRDefault="00C15AAC" w:rsidP="00DB7D43">
      <w:pPr>
        <w:jc w:val="center"/>
        <w:rPr>
          <w:sz w:val="28"/>
        </w:rPr>
      </w:pPr>
    </w:p>
    <w:p w:rsidR="004B2C94" w:rsidRPr="004B2C94" w:rsidRDefault="004B2C94" w:rsidP="00DB7D43">
      <w:pPr>
        <w:rPr>
          <w:sz w:val="28"/>
        </w:rPr>
      </w:pPr>
    </w:p>
    <w:p w:rsidR="00C15AAC" w:rsidRPr="004B2C94" w:rsidRDefault="00C15AAC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4B2C94" w:rsidRPr="004B2C94" w:rsidRDefault="004B2C94" w:rsidP="00DB7D43">
      <w:pPr>
        <w:jc w:val="center"/>
        <w:rPr>
          <w:sz w:val="28"/>
        </w:rPr>
      </w:pP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  <w:r w:rsidRPr="00E46E32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</w:t>
      </w:r>
      <w:r>
        <w:rPr>
          <w:color w:val="000000"/>
          <w:sz w:val="28"/>
          <w:szCs w:val="28"/>
        </w:rPr>
        <w:t xml:space="preserve"> </w:t>
      </w:r>
      <w:r w:rsidRPr="00E46E3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46E32">
        <w:rPr>
          <w:color w:val="000000"/>
          <w:sz w:val="28"/>
          <w:szCs w:val="28"/>
        </w:rPr>
        <w:t>ОрГМУ</w:t>
      </w:r>
      <w:proofErr w:type="spellEnd"/>
      <w:r w:rsidRPr="00E46E32">
        <w:rPr>
          <w:color w:val="000000"/>
          <w:sz w:val="28"/>
          <w:szCs w:val="28"/>
        </w:rPr>
        <w:t xml:space="preserve"> Минздрава России</w:t>
      </w: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</w:p>
    <w:p w:rsidR="00DB7D43" w:rsidRPr="00E46E32" w:rsidRDefault="00DB7D43" w:rsidP="00DB7D43">
      <w:pPr>
        <w:jc w:val="center"/>
        <w:rPr>
          <w:color w:val="000000"/>
          <w:sz w:val="28"/>
          <w:szCs w:val="28"/>
        </w:rPr>
      </w:pPr>
    </w:p>
    <w:p w:rsidR="00DB7D43" w:rsidRPr="00E46E32" w:rsidRDefault="00DB7D43" w:rsidP="00DB7D43">
      <w:pPr>
        <w:jc w:val="center"/>
        <w:rPr>
          <w:sz w:val="28"/>
          <w:szCs w:val="28"/>
        </w:rPr>
      </w:pPr>
    </w:p>
    <w:p w:rsidR="00DB7D43" w:rsidRPr="00E46E32" w:rsidRDefault="00DB7D43" w:rsidP="00DB7D43">
      <w:pPr>
        <w:jc w:val="center"/>
        <w:rPr>
          <w:sz w:val="28"/>
          <w:szCs w:val="28"/>
        </w:rPr>
      </w:pPr>
    </w:p>
    <w:p w:rsidR="00DB7D43" w:rsidRDefault="00DB7D43" w:rsidP="00DB7D43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B7D43" w:rsidRPr="00E46E32" w:rsidRDefault="00DB7D43" w:rsidP="00DB7D43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</w:t>
      </w:r>
      <w:r>
        <w:rPr>
          <w:sz w:val="28"/>
          <w:szCs w:val="28"/>
        </w:rPr>
        <w:t>универсальных</w:t>
      </w:r>
      <w:r w:rsidRPr="00E46E32">
        <w:rPr>
          <w:sz w:val="28"/>
          <w:szCs w:val="28"/>
        </w:rPr>
        <w:t xml:space="preserve"> компетенций, определённых в ФГОС ВО, формирование и развитие </w:t>
      </w:r>
      <w:r w:rsidRPr="004332DB">
        <w:rPr>
          <w:sz w:val="28"/>
          <w:szCs w:val="28"/>
        </w:rPr>
        <w:t>общепрофессиональных</w:t>
      </w:r>
      <w:r w:rsidRPr="00E4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профессиональных </w:t>
      </w:r>
      <w:r w:rsidRPr="00E46E32">
        <w:rPr>
          <w:sz w:val="28"/>
          <w:szCs w:val="28"/>
        </w:rPr>
        <w:t xml:space="preserve">компетенций, соответствующих основным видам профессиональной деятельности. </w:t>
      </w:r>
    </w:p>
    <w:p w:rsidR="00DB7D43" w:rsidRPr="00E46E32" w:rsidRDefault="00DB7D43" w:rsidP="00DB7D43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</w:t>
      </w:r>
      <w:r>
        <w:rPr>
          <w:sz w:val="28"/>
          <w:szCs w:val="28"/>
        </w:rPr>
        <w:t>аспирантов</w:t>
      </w:r>
      <w:r w:rsidRPr="00E46E32">
        <w:rPr>
          <w:sz w:val="28"/>
          <w:szCs w:val="28"/>
        </w:rPr>
        <w:t xml:space="preserve">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5EB7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3E3976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  <w:r w:rsidR="003E3976" w:rsidRPr="004B5EB7">
              <w:rPr>
                <w:sz w:val="24"/>
                <w:szCs w:val="24"/>
              </w:rPr>
              <w:t>контроля 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Форма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контактной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работы при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проведении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текущего </w:t>
            </w:r>
          </w:p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5EB7">
              <w:rPr>
                <w:sz w:val="24"/>
                <w:szCs w:val="24"/>
              </w:rPr>
              <w:t>контроля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5</w:t>
            </w:r>
          </w:p>
        </w:tc>
      </w:tr>
      <w:tr w:rsidR="006E5C48" w:rsidRPr="004B5EB7" w:rsidTr="00487989">
        <w:tc>
          <w:tcPr>
            <w:tcW w:w="10195" w:type="dxa"/>
            <w:gridSpan w:val="5"/>
            <w:shd w:val="clear" w:color="auto" w:fill="auto"/>
          </w:tcPr>
          <w:p w:rsidR="006E5C48" w:rsidRPr="004B5EB7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5EB7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опрос;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Решение проблемно-ситуационных задач; 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0979BD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на клинических базах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опрос;</w:t>
            </w:r>
          </w:p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6E5C48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Внеаудиторная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3E3976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A40EF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4B5EB7"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4B5EB7" w:rsidTr="00487989">
        <w:tc>
          <w:tcPr>
            <w:tcW w:w="10195" w:type="dxa"/>
            <w:gridSpan w:val="5"/>
            <w:shd w:val="clear" w:color="auto" w:fill="auto"/>
          </w:tcPr>
          <w:p w:rsidR="006E5C48" w:rsidRPr="004B5EB7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B5EB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4B5EB7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4B5EB7">
              <w:rPr>
                <w:i/>
                <w:sz w:val="24"/>
                <w:szCs w:val="24"/>
              </w:rPr>
              <w:t>модуля</w:t>
            </w:r>
            <w:proofErr w:type="gramEnd"/>
            <w:r w:rsidRPr="004B5EB7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1273D8" w:rsidRPr="001273D8">
              <w:rPr>
                <w:i/>
                <w:color w:val="000000"/>
                <w:sz w:val="24"/>
                <w:szCs w:val="24"/>
                <w:shd w:val="clear" w:color="auto" w:fill="FFFFFF"/>
              </w:rPr>
              <w:t>Полиорганная</w:t>
            </w:r>
            <w:proofErr w:type="spellEnd"/>
            <w:r w:rsidR="001273D8" w:rsidRPr="001273D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недостаточность у пациентов с критическими состояниями</w:t>
            </w:r>
            <w:r w:rsidRPr="004B5EB7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4B5EB7" w:rsidTr="00487989">
        <w:tc>
          <w:tcPr>
            <w:tcW w:w="1205" w:type="dxa"/>
            <w:shd w:val="clear" w:color="auto" w:fill="auto"/>
          </w:tcPr>
          <w:p w:rsidR="006E5C48" w:rsidRPr="004B5EB7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B5EB7" w:rsidRDefault="006E5C48" w:rsidP="00E40AAD">
            <w:pPr>
              <w:jc w:val="both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 xml:space="preserve">Патогенез, </w:t>
            </w:r>
            <w:proofErr w:type="spellStart"/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>патоморфология</w:t>
            </w:r>
            <w:proofErr w:type="spellEnd"/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>, клиническая характеристика и критерии диагностики органной недостаточности при критических состояниях: острая дыхательная недостаточность, острая недостаточность сердечно-сосудистой системы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6E5C48" w:rsidRPr="004B5EB7" w:rsidRDefault="006D520E" w:rsidP="00CB4176">
            <w:pPr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  <w:r w:rsidR="00CB4176" w:rsidRPr="004B5EB7">
              <w:rPr>
                <w:sz w:val="24"/>
                <w:szCs w:val="24"/>
              </w:rPr>
              <w:t>;</w:t>
            </w:r>
          </w:p>
          <w:p w:rsidR="00CB4176" w:rsidRPr="004B5EB7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487989">
            <w:pPr>
              <w:jc w:val="both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sz w:val="24"/>
                <w:szCs w:val="24"/>
              </w:rPr>
              <w:t xml:space="preserve">Патогенез, </w:t>
            </w:r>
            <w:proofErr w:type="spellStart"/>
            <w:r w:rsidR="001273D8" w:rsidRPr="001273D8">
              <w:rPr>
                <w:sz w:val="24"/>
                <w:szCs w:val="24"/>
              </w:rPr>
              <w:t>патоморфология</w:t>
            </w:r>
            <w:proofErr w:type="spellEnd"/>
            <w:r w:rsidR="001273D8" w:rsidRPr="001273D8">
              <w:rPr>
                <w:sz w:val="24"/>
                <w:szCs w:val="24"/>
              </w:rPr>
              <w:t>, клиническая характеристика и критерии диагностики органной недостаточности при критических состояниях: острая церебральная недостаточность, острая недостаточность системы гемостаза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 xml:space="preserve">Устный </w:t>
            </w:r>
            <w:bookmarkStart w:id="0" w:name="_GoBack"/>
            <w:bookmarkEnd w:id="0"/>
            <w:r w:rsidRPr="004B5EB7">
              <w:rPr>
                <w:sz w:val="24"/>
                <w:szCs w:val="24"/>
              </w:rPr>
              <w:t>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1C376B">
            <w:pPr>
              <w:jc w:val="both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sz w:val="24"/>
                <w:szCs w:val="24"/>
              </w:rPr>
              <w:t xml:space="preserve">Патогенез, </w:t>
            </w:r>
            <w:proofErr w:type="spellStart"/>
            <w:r w:rsidR="001273D8" w:rsidRPr="001273D8">
              <w:rPr>
                <w:sz w:val="24"/>
                <w:szCs w:val="24"/>
              </w:rPr>
              <w:t>патоморфология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, клиническая характеристика и критерии диагностики органной недостаточности при критических состояниях: острое повреждение почек, острая печёночная недостаточность, острая недостаточность желудочно-кишечного тракта. Понятия синдром системной воспалительной реакции, сепсис, синдром </w:t>
            </w:r>
            <w:proofErr w:type="spellStart"/>
            <w:r w:rsidR="001273D8" w:rsidRPr="001273D8">
              <w:rPr>
                <w:sz w:val="24"/>
                <w:szCs w:val="24"/>
              </w:rPr>
              <w:t>полиорганной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 недостаточности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4B5EB7">
            <w:pPr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sz w:val="24"/>
                <w:szCs w:val="24"/>
              </w:rPr>
              <w:t xml:space="preserve">Методы объективной оценки степени тяжести пациентов с синдромом </w:t>
            </w:r>
            <w:proofErr w:type="spellStart"/>
            <w:r w:rsidR="001273D8" w:rsidRPr="001273D8">
              <w:rPr>
                <w:sz w:val="24"/>
                <w:szCs w:val="24"/>
              </w:rPr>
              <w:t>полиорганной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 недостаточности: </w:t>
            </w:r>
            <w:r w:rsidR="001273D8" w:rsidRPr="001273D8">
              <w:rPr>
                <w:sz w:val="24"/>
                <w:szCs w:val="24"/>
              </w:rPr>
              <w:lastRenderedPageBreak/>
              <w:t xml:space="preserve">шкалы APACHE-II-IV, SAPS-II-III, SOFA, MODS. Современные лабораторно-инструментальные методы диагностики и оценки клинического течения органной недостаточности: </w:t>
            </w:r>
            <w:proofErr w:type="spellStart"/>
            <w:r w:rsidR="001273D8" w:rsidRPr="001273D8">
              <w:rPr>
                <w:sz w:val="24"/>
                <w:szCs w:val="24"/>
              </w:rPr>
              <w:t>прокальцитонин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, </w:t>
            </w:r>
            <w:proofErr w:type="spellStart"/>
            <w:r w:rsidR="001273D8" w:rsidRPr="001273D8">
              <w:rPr>
                <w:sz w:val="24"/>
                <w:szCs w:val="24"/>
              </w:rPr>
              <w:t>лактат</w:t>
            </w:r>
            <w:proofErr w:type="spellEnd"/>
            <w:r w:rsidR="001273D8" w:rsidRPr="001273D8">
              <w:rPr>
                <w:sz w:val="24"/>
                <w:szCs w:val="24"/>
              </w:rPr>
              <w:t>, иммунологические показатели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1273D8">
            <w:pPr>
              <w:jc w:val="both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Принципы интенсивной терапии пациентов с синдромом </w:t>
            </w:r>
            <w:proofErr w:type="spellStart"/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>полиорганной</w:t>
            </w:r>
            <w:proofErr w:type="spellEnd"/>
            <w:r w:rsidR="001273D8" w:rsidRPr="001273D8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недостаточности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  <w:tr w:rsidR="00487989" w:rsidRPr="004B5EB7" w:rsidTr="00487989">
        <w:tc>
          <w:tcPr>
            <w:tcW w:w="1205" w:type="dxa"/>
            <w:shd w:val="clear" w:color="auto" w:fill="auto"/>
          </w:tcPr>
          <w:p w:rsidR="00487989" w:rsidRPr="004B5EB7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4B5EB7" w:rsidRDefault="00487989" w:rsidP="00487989">
            <w:pPr>
              <w:jc w:val="both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Тема «</w:t>
            </w:r>
            <w:r w:rsidR="001273D8" w:rsidRPr="001273D8">
              <w:rPr>
                <w:sz w:val="24"/>
                <w:szCs w:val="24"/>
              </w:rPr>
              <w:t xml:space="preserve">Особенности интенсивной терапии синдрома </w:t>
            </w:r>
            <w:proofErr w:type="spellStart"/>
            <w:r w:rsidR="001273D8" w:rsidRPr="001273D8">
              <w:rPr>
                <w:sz w:val="24"/>
                <w:szCs w:val="24"/>
              </w:rPr>
              <w:t>полиорганной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 недостаточности у пациентов </w:t>
            </w:r>
            <w:proofErr w:type="spellStart"/>
            <w:r w:rsidR="001273D8" w:rsidRPr="001273D8">
              <w:rPr>
                <w:sz w:val="24"/>
                <w:szCs w:val="24"/>
              </w:rPr>
              <w:t>нейрореаниматологического</w:t>
            </w:r>
            <w:proofErr w:type="spellEnd"/>
            <w:r w:rsidR="001273D8" w:rsidRPr="001273D8">
              <w:rPr>
                <w:sz w:val="24"/>
                <w:szCs w:val="24"/>
              </w:rPr>
              <w:t xml:space="preserve"> профиля</w:t>
            </w:r>
            <w:r w:rsidRPr="004B5EB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Подготовка ответа, составление плана и тезисов ответа;</w:t>
            </w:r>
          </w:p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B5EB7" w:rsidRDefault="00487989" w:rsidP="00487989">
            <w:pPr>
              <w:jc w:val="center"/>
              <w:rPr>
                <w:sz w:val="24"/>
                <w:szCs w:val="24"/>
              </w:rPr>
            </w:pPr>
            <w:r w:rsidRPr="004B5EB7">
              <w:rPr>
                <w:sz w:val="24"/>
                <w:szCs w:val="24"/>
              </w:rPr>
              <w:t>Аудиторная</w:t>
            </w:r>
          </w:p>
        </w:tc>
      </w:tr>
    </w:tbl>
    <w:p w:rsidR="00582BA5" w:rsidRDefault="00582BA5" w:rsidP="000A4687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lastRenderedPageBreak/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58" w:rsidRDefault="00D00B58" w:rsidP="00FD5B6B">
      <w:r>
        <w:separator/>
      </w:r>
    </w:p>
  </w:endnote>
  <w:endnote w:type="continuationSeparator" w:id="0">
    <w:p w:rsidR="00D00B58" w:rsidRDefault="00D00B5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43" w:rsidRDefault="00DB7D4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73D8">
      <w:rPr>
        <w:noProof/>
      </w:rPr>
      <w:t>4</w:t>
    </w:r>
    <w:r>
      <w:fldChar w:fldCharType="end"/>
    </w:r>
  </w:p>
  <w:p w:rsidR="00DB7D43" w:rsidRDefault="00DB7D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58" w:rsidRDefault="00D00B58" w:rsidP="00FD5B6B">
      <w:r>
        <w:separator/>
      </w:r>
    </w:p>
  </w:footnote>
  <w:footnote w:type="continuationSeparator" w:id="0">
    <w:p w:rsidR="00D00B58" w:rsidRDefault="00D00B5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9BD"/>
    <w:rsid w:val="000A4687"/>
    <w:rsid w:val="001273D8"/>
    <w:rsid w:val="001A1A37"/>
    <w:rsid w:val="001C01FC"/>
    <w:rsid w:val="001C376B"/>
    <w:rsid w:val="001F5EE1"/>
    <w:rsid w:val="0026698D"/>
    <w:rsid w:val="002A6F94"/>
    <w:rsid w:val="002B38F6"/>
    <w:rsid w:val="002D2784"/>
    <w:rsid w:val="00344327"/>
    <w:rsid w:val="003B4DBF"/>
    <w:rsid w:val="003B5739"/>
    <w:rsid w:val="003B5F75"/>
    <w:rsid w:val="003C175E"/>
    <w:rsid w:val="003C37BE"/>
    <w:rsid w:val="003E3976"/>
    <w:rsid w:val="003F563D"/>
    <w:rsid w:val="00476000"/>
    <w:rsid w:val="00487989"/>
    <w:rsid w:val="004A40EF"/>
    <w:rsid w:val="004B2C94"/>
    <w:rsid w:val="004B5EB7"/>
    <w:rsid w:val="004C1386"/>
    <w:rsid w:val="004D1091"/>
    <w:rsid w:val="00515463"/>
    <w:rsid w:val="005677BE"/>
    <w:rsid w:val="00582BA5"/>
    <w:rsid w:val="00593334"/>
    <w:rsid w:val="005E2E5A"/>
    <w:rsid w:val="006847B8"/>
    <w:rsid w:val="00693E11"/>
    <w:rsid w:val="006D520E"/>
    <w:rsid w:val="006E5C48"/>
    <w:rsid w:val="006F14A4"/>
    <w:rsid w:val="006F3312"/>
    <w:rsid w:val="006F7AD8"/>
    <w:rsid w:val="00727175"/>
    <w:rsid w:val="00742208"/>
    <w:rsid w:val="00755609"/>
    <w:rsid w:val="00765116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C73BF"/>
    <w:rsid w:val="009F49C5"/>
    <w:rsid w:val="00A338BB"/>
    <w:rsid w:val="00AD3EBB"/>
    <w:rsid w:val="00AF327C"/>
    <w:rsid w:val="00B350F3"/>
    <w:rsid w:val="00B84E87"/>
    <w:rsid w:val="00BF1CD1"/>
    <w:rsid w:val="00C15AAC"/>
    <w:rsid w:val="00C35B2E"/>
    <w:rsid w:val="00C83AB7"/>
    <w:rsid w:val="00CB4176"/>
    <w:rsid w:val="00CF1E95"/>
    <w:rsid w:val="00D00B58"/>
    <w:rsid w:val="00D06B87"/>
    <w:rsid w:val="00D33524"/>
    <w:rsid w:val="00D35869"/>
    <w:rsid w:val="00D471E6"/>
    <w:rsid w:val="00D61E46"/>
    <w:rsid w:val="00D87864"/>
    <w:rsid w:val="00DB7D43"/>
    <w:rsid w:val="00DE39EB"/>
    <w:rsid w:val="00E245A5"/>
    <w:rsid w:val="00E40AAD"/>
    <w:rsid w:val="00E57C66"/>
    <w:rsid w:val="00F036C2"/>
    <w:rsid w:val="00F0689E"/>
    <w:rsid w:val="00F44E53"/>
    <w:rsid w:val="00F510EB"/>
    <w:rsid w:val="00F5136B"/>
    <w:rsid w:val="00F55788"/>
    <w:rsid w:val="00F56823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SALE-COMPUTERS</cp:lastModifiedBy>
  <cp:revision>19</cp:revision>
  <dcterms:created xsi:type="dcterms:W3CDTF">2019-02-26T05:11:00Z</dcterms:created>
  <dcterms:modified xsi:type="dcterms:W3CDTF">2020-02-02T06:35:00Z</dcterms:modified>
</cp:coreProperties>
</file>