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D126EA" w:rsidRDefault="00943D54" w:rsidP="00EC45CD">
      <w:pPr>
        <w:jc w:val="center"/>
        <w:rPr>
          <w:b/>
          <w:sz w:val="28"/>
        </w:rPr>
      </w:pPr>
      <w:r>
        <w:rPr>
          <w:b/>
          <w:sz w:val="28"/>
        </w:rPr>
        <w:t>ВВЕДЕНИЕ В ОБЩЕСТВЕННОЕ</w:t>
      </w:r>
      <w:r w:rsidR="00D91C2F">
        <w:rPr>
          <w:b/>
          <w:sz w:val="28"/>
        </w:rPr>
        <w:t xml:space="preserve"> ЗДРАВООХРАНЕНИ</w:t>
      </w:r>
      <w:r>
        <w:rPr>
          <w:b/>
          <w:sz w:val="28"/>
        </w:rPr>
        <w:t>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BB63D7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C32D63" w:rsidRDefault="00C32D63" w:rsidP="00C32D63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>ФГБОУ ВО ОрГМУ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  <w:bookmarkStart w:id="0" w:name="_GoBack"/>
      <w:bookmarkEnd w:id="0"/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943D54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943D54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 w:rsidR="00943D54">
        <w:rPr>
          <w:sz w:val="28"/>
        </w:rPr>
        <w:t xml:space="preserve">модулю </w:t>
      </w:r>
      <w:r w:rsidRPr="000416A6">
        <w:rPr>
          <w:sz w:val="28"/>
        </w:rPr>
        <w:t>«</w:t>
      </w:r>
      <w:r w:rsidR="00943D54">
        <w:rPr>
          <w:color w:val="000000"/>
          <w:sz w:val="28"/>
          <w:szCs w:val="28"/>
        </w:rPr>
        <w:t>Теоретические основы общественного здоровья</w:t>
      </w:r>
      <w:r w:rsidRPr="000416A6">
        <w:rPr>
          <w:sz w:val="28"/>
        </w:rPr>
        <w:t>»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у</w:t>
      </w:r>
      <w:r w:rsidR="00F42944" w:rsidRPr="00F42944">
        <w:rPr>
          <w:sz w:val="28"/>
        </w:rPr>
        <w:t>меть использовать нормативную правовую документацию, регламентирующую профессиональную деятельность</w:t>
      </w:r>
      <w:r w:rsidR="00F42944">
        <w:rPr>
          <w:sz w:val="28"/>
        </w:rPr>
        <w:t>.</w:t>
      </w:r>
    </w:p>
    <w:p w:rsidR="00943D54" w:rsidRDefault="00943D54" w:rsidP="00943D54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>
        <w:rPr>
          <w:sz w:val="28"/>
        </w:rPr>
        <w:t xml:space="preserve">модулю </w:t>
      </w:r>
      <w:r w:rsidRPr="000416A6">
        <w:rPr>
          <w:sz w:val="28"/>
        </w:rPr>
        <w:t>«</w:t>
      </w:r>
      <w:r>
        <w:rPr>
          <w:color w:val="000000"/>
          <w:sz w:val="28"/>
          <w:szCs w:val="28"/>
        </w:rPr>
        <w:t>Общественное здоровье и факторы его определяющие</w:t>
      </w:r>
      <w:r w:rsidRPr="000416A6">
        <w:rPr>
          <w:sz w:val="28"/>
        </w:rPr>
        <w:t>»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ов</w:t>
      </w:r>
      <w:r w:rsidR="00F42944" w:rsidRPr="00F42944">
        <w:rPr>
          <w:sz w:val="28"/>
        </w:rPr>
        <w:t>ладеть навыком интерпретации данных о здоровье населения и деятельности здравоохранения.</w:t>
      </w:r>
    </w:p>
    <w:p w:rsidR="00943D54" w:rsidRDefault="00943D54" w:rsidP="00943D54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>
        <w:rPr>
          <w:sz w:val="28"/>
        </w:rPr>
        <w:t xml:space="preserve">модулю </w:t>
      </w:r>
      <w:r w:rsidRPr="000416A6">
        <w:rPr>
          <w:sz w:val="28"/>
        </w:rPr>
        <w:t>«</w:t>
      </w:r>
      <w:r>
        <w:rPr>
          <w:color w:val="000000"/>
          <w:sz w:val="28"/>
          <w:szCs w:val="28"/>
        </w:rPr>
        <w:t>Система охраны здоровья населения. Общественное здравоохранение»</w:t>
      </w:r>
      <w:r w:rsidRPr="000416A6">
        <w:rPr>
          <w:sz w:val="28"/>
        </w:rPr>
        <w:t xml:space="preserve">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ов</w:t>
      </w:r>
      <w:r w:rsidR="00F42944" w:rsidRPr="00F42944">
        <w:rPr>
          <w:sz w:val="28"/>
        </w:rPr>
        <w:t>ладеть методикой интерпретации показателей деятельности медицинской организации, навыком подготовки аналитической записки к годовому отчету медицинской организации</w:t>
      </w:r>
      <w:r w:rsidR="00F42944">
        <w:rPr>
          <w:sz w:val="28"/>
        </w:rPr>
        <w:t>.</w:t>
      </w:r>
    </w:p>
    <w:p w:rsidR="00943D54" w:rsidRDefault="00943D54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 xml:space="preserve">, раздел </w:t>
      </w:r>
      <w:r w:rsidR="00B916C2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66"/>
        <w:gridCol w:w="2555"/>
        <w:gridCol w:w="1961"/>
        <w:gridCol w:w="1962"/>
      </w:tblGrid>
      <w:tr w:rsidR="00605F7C" w:rsidRPr="002467A4" w:rsidTr="00773B3B">
        <w:tc>
          <w:tcPr>
            <w:tcW w:w="534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самостоятельной</w:t>
            </w:r>
          </w:p>
          <w:p w:rsidR="006F14A4" w:rsidRPr="002467A4" w:rsidRDefault="006F14A4" w:rsidP="00961763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  <w:vertAlign w:val="superscript"/>
              </w:rPr>
            </w:pPr>
            <w:r w:rsidRPr="002467A4">
              <w:rPr>
                <w:sz w:val="24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2467A4" w:rsidRDefault="006F14A4" w:rsidP="005670B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контактной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работы при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проведении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текущего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  <w:vertAlign w:val="superscript"/>
              </w:rPr>
            </w:pPr>
            <w:r w:rsidRPr="002467A4">
              <w:rPr>
                <w:sz w:val="24"/>
                <w:szCs w:val="22"/>
              </w:rPr>
              <w:t>контроля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5</w:t>
            </w:r>
          </w:p>
        </w:tc>
      </w:tr>
      <w:tr w:rsidR="009978D9" w:rsidRPr="002467A4" w:rsidTr="00D06F77">
        <w:tc>
          <w:tcPr>
            <w:tcW w:w="9571" w:type="dxa"/>
            <w:gridSpan w:val="5"/>
            <w:shd w:val="clear" w:color="auto" w:fill="auto"/>
          </w:tcPr>
          <w:p w:rsidR="009978D9" w:rsidRPr="002467A4" w:rsidRDefault="009978D9" w:rsidP="00AD092D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2467A4">
              <w:rPr>
                <w:i/>
                <w:sz w:val="24"/>
                <w:szCs w:val="22"/>
              </w:rPr>
              <w:t>Самостоятел</w:t>
            </w:r>
            <w:r w:rsidR="00693E11" w:rsidRPr="002467A4">
              <w:rPr>
                <w:i/>
                <w:sz w:val="24"/>
                <w:szCs w:val="22"/>
              </w:rPr>
              <w:t>ьная работа в рамках м</w:t>
            </w:r>
            <w:r w:rsidRPr="002467A4">
              <w:rPr>
                <w:i/>
                <w:sz w:val="24"/>
                <w:szCs w:val="22"/>
              </w:rPr>
              <w:t>одул</w:t>
            </w:r>
            <w:r w:rsidR="005670B4" w:rsidRPr="002467A4">
              <w:rPr>
                <w:i/>
                <w:sz w:val="24"/>
                <w:szCs w:val="22"/>
              </w:rPr>
              <w:t>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9978D9" w:rsidRPr="002467A4" w:rsidRDefault="009978D9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2467A4" w:rsidRDefault="00693E11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943D54" w:rsidRPr="002467A4">
              <w:rPr>
                <w:color w:val="000000"/>
                <w:sz w:val="24"/>
                <w:szCs w:val="22"/>
              </w:rPr>
              <w:t>Теоретические основы общественного здоровья</w:t>
            </w:r>
            <w:r w:rsidR="00AD092D"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2467A4" w:rsidRDefault="00F42944" w:rsidP="00801D4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</w:t>
            </w:r>
            <w:r w:rsidR="00AD092D" w:rsidRPr="002467A4">
              <w:rPr>
                <w:sz w:val="24"/>
                <w:szCs w:val="22"/>
              </w:rPr>
              <w:t>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4A1D4D" w:rsidRPr="002467A4" w:rsidRDefault="00801D49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2467A4" w:rsidRDefault="00943D54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43D54" w:rsidRPr="002467A4" w:rsidTr="00083332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модуля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9978D9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2467A4" w:rsidRDefault="00D91C2F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943D54" w:rsidRPr="002467A4">
              <w:rPr>
                <w:color w:val="000000"/>
                <w:sz w:val="24"/>
                <w:szCs w:val="22"/>
              </w:rPr>
              <w:t>Общественное здоровье и факторы его определяющие</w:t>
            </w:r>
            <w:r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2467A4" w:rsidRDefault="00D91C2F" w:rsidP="00041727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контрольная работа</w:t>
            </w:r>
          </w:p>
        </w:tc>
        <w:tc>
          <w:tcPr>
            <w:tcW w:w="1815" w:type="dxa"/>
            <w:shd w:val="clear" w:color="auto" w:fill="auto"/>
          </w:tcPr>
          <w:p w:rsidR="009978D9" w:rsidRPr="002467A4" w:rsidRDefault="00D91C2F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сдача контрольной работы</w:t>
            </w:r>
          </w:p>
        </w:tc>
        <w:tc>
          <w:tcPr>
            <w:tcW w:w="2009" w:type="dxa"/>
            <w:shd w:val="clear" w:color="auto" w:fill="auto"/>
          </w:tcPr>
          <w:p w:rsidR="009978D9" w:rsidRPr="002467A4" w:rsidRDefault="005670B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43D54" w:rsidRPr="002467A4" w:rsidTr="00DB0AAB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модуля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2467A4" w:rsidRPr="002467A4">
              <w:rPr>
                <w:color w:val="000000"/>
                <w:sz w:val="24"/>
                <w:szCs w:val="22"/>
              </w:rPr>
              <w:t>Система охраны здоровья населения. Общественное здравоохранение</w:t>
            </w:r>
            <w:r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F42944" w:rsidP="00041727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контрольная работа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F4294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сдача контрольной работы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978D9" w:rsidRPr="002467A4" w:rsidTr="00D06F77">
        <w:tc>
          <w:tcPr>
            <w:tcW w:w="9571" w:type="dxa"/>
            <w:gridSpan w:val="5"/>
            <w:shd w:val="clear" w:color="auto" w:fill="auto"/>
          </w:tcPr>
          <w:p w:rsidR="00AD092D" w:rsidRPr="002467A4" w:rsidRDefault="009978D9" w:rsidP="00AD092D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практических занятий</w:t>
            </w:r>
            <w:r w:rsidR="00AD092D" w:rsidRPr="002467A4">
              <w:rPr>
                <w:i/>
                <w:sz w:val="24"/>
                <w:szCs w:val="22"/>
              </w:rPr>
              <w:t xml:space="preserve"> </w:t>
            </w:r>
          </w:p>
          <w:p w:rsidR="009978D9" w:rsidRPr="002467A4" w:rsidRDefault="00693E11" w:rsidP="00943D54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2467A4">
              <w:rPr>
                <w:i/>
                <w:sz w:val="24"/>
                <w:szCs w:val="22"/>
              </w:rPr>
              <w:t>м</w:t>
            </w:r>
            <w:r w:rsidR="009978D9" w:rsidRPr="002467A4">
              <w:rPr>
                <w:i/>
                <w:sz w:val="24"/>
                <w:szCs w:val="22"/>
              </w:rPr>
              <w:t xml:space="preserve">одуля </w:t>
            </w:r>
            <w:r w:rsidRPr="002467A4">
              <w:rPr>
                <w:i/>
                <w:sz w:val="24"/>
                <w:szCs w:val="22"/>
              </w:rPr>
              <w:t>«</w:t>
            </w:r>
            <w:r w:rsidR="00943D54" w:rsidRPr="002467A4">
              <w:rPr>
                <w:i/>
                <w:color w:val="000000"/>
                <w:sz w:val="24"/>
                <w:szCs w:val="22"/>
              </w:rPr>
              <w:t>Теоретические основы общественного здоровья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605F7C" w:rsidRPr="002467A4" w:rsidRDefault="00605F7C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2467A4" w:rsidRDefault="00605F7C" w:rsidP="00914468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</w:t>
            </w:r>
            <w:r w:rsidR="00D91C2F"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2467A4" w:rsidRDefault="000F4023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работа над </w:t>
            </w:r>
            <w:r w:rsidR="00D91C2F" w:rsidRPr="002467A4">
              <w:rPr>
                <w:sz w:val="24"/>
                <w:szCs w:val="22"/>
              </w:rPr>
              <w:t xml:space="preserve">конспектом лекции, </w:t>
            </w:r>
            <w:r w:rsidRPr="002467A4">
              <w:rPr>
                <w:sz w:val="24"/>
                <w:szCs w:val="22"/>
              </w:rPr>
              <w:t xml:space="preserve">учебным материалом, </w:t>
            </w:r>
            <w:r w:rsidR="00605F7C" w:rsidRPr="002467A4">
              <w:rPr>
                <w:sz w:val="24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5F7C" w:rsidRPr="002467A4" w:rsidRDefault="00D91C2F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0F4023" w:rsidRPr="002467A4" w:rsidRDefault="00D91C2F" w:rsidP="00D91C2F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4A1D4D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5F7C" w:rsidRPr="002467A4" w:rsidRDefault="00605F7C" w:rsidP="005670B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5C5542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 xml:space="preserve">Самостоятельная работа в рамках практических занятий 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модуля «</w:t>
            </w:r>
            <w:r w:rsidRPr="002467A4">
              <w:rPr>
                <w:i/>
                <w:color w:val="000000"/>
                <w:sz w:val="24"/>
                <w:szCs w:val="22"/>
              </w:rPr>
              <w:t>Общественное здоровье и факторы его определяющие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lastRenderedPageBreak/>
              <w:t>2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Демография и её медико-социальные аспекты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ED7261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 xml:space="preserve">Самостоятельная работа в рамках практических занятий 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модуля «</w:t>
            </w:r>
            <w:r w:rsidR="002467A4" w:rsidRPr="002467A4">
              <w:rPr>
                <w:i/>
                <w:color w:val="000000"/>
                <w:sz w:val="24"/>
                <w:szCs w:val="22"/>
              </w:rPr>
              <w:t>Система охраны здоровья населения. Общественное здравоохранение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Политика здравоохранения. Концепция нового общественного здравоохранения. Реформа здравоохранения в России и зарубежных странах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Укрепление здоровья и профилактика нарушений в состоянии здоровья населения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F4294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Система охраны здоровья матери и ребенка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F4294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</w:tbl>
    <w:p w:rsidR="00943D54" w:rsidRDefault="00943D54" w:rsidP="004A04D8">
      <w:pPr>
        <w:jc w:val="center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AB5B37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AB5B37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D91C2F" w:rsidRPr="00755609" w:rsidRDefault="00D91C2F" w:rsidP="00D91C2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91C2F" w:rsidRDefault="00D91C2F" w:rsidP="00D91C2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91C2F" w:rsidRPr="00755609" w:rsidRDefault="00D91C2F" w:rsidP="007D639F">
      <w:pPr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D91C2F" w:rsidRDefault="00D91C2F" w:rsidP="00905D91">
      <w:pPr>
        <w:ind w:firstLine="709"/>
        <w:jc w:val="both"/>
        <w:rPr>
          <w:sz w:val="28"/>
        </w:rPr>
      </w:pPr>
    </w:p>
    <w:p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lastRenderedPageBreak/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lastRenderedPageBreak/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Pr="00BD5AFD" w:rsidRDefault="00905D91" w:rsidP="00905D9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37" w:rsidRDefault="00AB5B37" w:rsidP="00FD5B6B">
      <w:r>
        <w:separator/>
      </w:r>
    </w:p>
  </w:endnote>
  <w:endnote w:type="continuationSeparator" w:id="0">
    <w:p w:rsidR="00AB5B37" w:rsidRDefault="00AB5B3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91" w:rsidRDefault="000278DC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C32D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37" w:rsidRDefault="00AB5B37" w:rsidP="00FD5B6B">
      <w:r>
        <w:separator/>
      </w:r>
    </w:p>
  </w:footnote>
  <w:footnote w:type="continuationSeparator" w:id="0">
    <w:p w:rsidR="00AB5B37" w:rsidRDefault="00AB5B3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78DC"/>
    <w:rsid w:val="00033367"/>
    <w:rsid w:val="0003403A"/>
    <w:rsid w:val="000416A6"/>
    <w:rsid w:val="00041727"/>
    <w:rsid w:val="00075EF3"/>
    <w:rsid w:val="00083C34"/>
    <w:rsid w:val="0009030C"/>
    <w:rsid w:val="000931E3"/>
    <w:rsid w:val="000B75E3"/>
    <w:rsid w:val="000F4023"/>
    <w:rsid w:val="001D3FDC"/>
    <w:rsid w:val="001F02EA"/>
    <w:rsid w:val="001F5EE1"/>
    <w:rsid w:val="002467A4"/>
    <w:rsid w:val="0026698D"/>
    <w:rsid w:val="002808CD"/>
    <w:rsid w:val="002D2784"/>
    <w:rsid w:val="00384C49"/>
    <w:rsid w:val="003B5F75"/>
    <w:rsid w:val="003C37BE"/>
    <w:rsid w:val="003F7C69"/>
    <w:rsid w:val="00406AE2"/>
    <w:rsid w:val="00461E8C"/>
    <w:rsid w:val="00476000"/>
    <w:rsid w:val="004A04D8"/>
    <w:rsid w:val="004A1D4D"/>
    <w:rsid w:val="004B2C94"/>
    <w:rsid w:val="004C04C0"/>
    <w:rsid w:val="004C1386"/>
    <w:rsid w:val="004D1091"/>
    <w:rsid w:val="004E684D"/>
    <w:rsid w:val="005670B4"/>
    <w:rsid w:val="005677BE"/>
    <w:rsid w:val="00582BA5"/>
    <w:rsid w:val="00593334"/>
    <w:rsid w:val="005B1DE2"/>
    <w:rsid w:val="005C4342"/>
    <w:rsid w:val="00600B21"/>
    <w:rsid w:val="00605F7C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73B3B"/>
    <w:rsid w:val="0079237F"/>
    <w:rsid w:val="007D639F"/>
    <w:rsid w:val="00801D49"/>
    <w:rsid w:val="008113A5"/>
    <w:rsid w:val="00832D24"/>
    <w:rsid w:val="00845C7D"/>
    <w:rsid w:val="00905D91"/>
    <w:rsid w:val="00914468"/>
    <w:rsid w:val="00943D54"/>
    <w:rsid w:val="009511F7"/>
    <w:rsid w:val="00961763"/>
    <w:rsid w:val="00985E1D"/>
    <w:rsid w:val="009978D9"/>
    <w:rsid w:val="009C2F35"/>
    <w:rsid w:val="009C4A0D"/>
    <w:rsid w:val="009F49C5"/>
    <w:rsid w:val="009F712E"/>
    <w:rsid w:val="00AB5B37"/>
    <w:rsid w:val="00AD092D"/>
    <w:rsid w:val="00AD3EBB"/>
    <w:rsid w:val="00AF327C"/>
    <w:rsid w:val="00B350F3"/>
    <w:rsid w:val="00B916C2"/>
    <w:rsid w:val="00B93434"/>
    <w:rsid w:val="00BB63D7"/>
    <w:rsid w:val="00BF1CD1"/>
    <w:rsid w:val="00C32D63"/>
    <w:rsid w:val="00C35B2E"/>
    <w:rsid w:val="00C83AB7"/>
    <w:rsid w:val="00C96D6D"/>
    <w:rsid w:val="00CD37A5"/>
    <w:rsid w:val="00D06B87"/>
    <w:rsid w:val="00D06F77"/>
    <w:rsid w:val="00D33524"/>
    <w:rsid w:val="00D35869"/>
    <w:rsid w:val="00D46A21"/>
    <w:rsid w:val="00D471E6"/>
    <w:rsid w:val="00D91C2F"/>
    <w:rsid w:val="00D9581D"/>
    <w:rsid w:val="00DA41EF"/>
    <w:rsid w:val="00DD7DF5"/>
    <w:rsid w:val="00E57C66"/>
    <w:rsid w:val="00EC45CD"/>
    <w:rsid w:val="00EE10AD"/>
    <w:rsid w:val="00F0689E"/>
    <w:rsid w:val="00F42944"/>
    <w:rsid w:val="00F44E53"/>
    <w:rsid w:val="00F5136B"/>
    <w:rsid w:val="00F55788"/>
    <w:rsid w:val="00F8248C"/>
    <w:rsid w:val="00F8739C"/>
    <w:rsid w:val="00F922E9"/>
    <w:rsid w:val="00FA55EC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38F15E-CE27-4D52-8CE9-0D5E68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D2D9-1D31-4AC5-B49B-83906C88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36</cp:revision>
  <cp:lastPrinted>2019-03-11T04:50:00Z</cp:lastPrinted>
  <dcterms:created xsi:type="dcterms:W3CDTF">2019-02-04T05:01:00Z</dcterms:created>
  <dcterms:modified xsi:type="dcterms:W3CDTF">2021-09-13T11:04:00Z</dcterms:modified>
</cp:coreProperties>
</file>