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17.jpeg" ContentType="image/jpe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8.jpeg" ContentType="image/jpeg"/>
  <Override PartName="/word/media/image7.png" ContentType="image/png"/>
  <Override PartName="/word/media/image9.jpeg" ContentType="image/jpeg"/>
  <Override PartName="/word/media/image10.jpeg" ContentType="image/jpeg"/>
  <Override PartName="/word/media/image11.jpeg" ContentType="image/jpeg"/>
  <Override PartName="/word/media/image21.wmf" ContentType="image/x-wmf"/>
  <Override PartName="/word/media/image12.jpeg" ContentType="image/jpeg"/>
  <Override PartName="/word/media/image31.wmf" ContentType="image/x-wmf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8.jpeg" ContentType="image/jpeg"/>
  <Override PartName="/word/media/image24.wmf" ContentType="image/x-wmf"/>
  <Override PartName="/word/media/image19.jpeg" ContentType="image/jpeg"/>
  <Override PartName="/word/media/image34.wmf" ContentType="image/x-wmf"/>
  <Override PartName="/word/media/image20.wmf" ContentType="image/x-wmf"/>
  <Override PartName="/word/media/image22.wmf" ContentType="image/x-wmf"/>
  <Override PartName="/word/media/image23.wmf" ContentType="image/x-wmf"/>
  <Override PartName="/word/media/image25.wmf" ContentType="image/x-wmf"/>
  <Override PartName="/word/media/image26.wmf" ContentType="image/x-wmf"/>
  <Override PartName="/word/media/image27.wmf" ContentType="image/x-wmf"/>
  <Override PartName="/word/media/image28.wmf" ContentType="image/x-wmf"/>
  <Override PartName="/word/media/image29.wmf" ContentType="image/x-wmf"/>
  <Override PartName="/word/media/image30.wmf" ContentType="image/x-wmf"/>
  <Override PartName="/word/media/image32.wmf" ContentType="image/x-wmf"/>
  <Override PartName="/word/media/image33.wmf" ContentType="image/x-wmf"/>
  <Override PartName="/word/media/image35.wmf" ContentType="image/x-wmf"/>
  <Override PartName="/word/media/image36.wmf" ContentType="image/x-wmf"/>
  <Override PartName="/word/media/image37.wmf" ContentType="image/x-wmf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both"/>
        <w:rPr/>
      </w:pPr>
      <w:r>
        <w:rPr/>
        <w:t xml:space="preserve">федеральное государственное бюджетное образовательное учреждение </w:t>
      </w:r>
    </w:p>
    <w:p>
      <w:pPr>
        <w:pStyle w:val="Normal"/>
        <w:jc w:val="both"/>
        <w:rPr/>
      </w:pPr>
      <w:r>
        <w:rPr/>
        <w:t>высшего образования</w:t>
      </w:r>
    </w:p>
    <w:p>
      <w:pPr>
        <w:pStyle w:val="Normal"/>
        <w:jc w:val="both"/>
        <w:rPr/>
      </w:pPr>
      <w:r>
        <w:rPr/>
        <w:t>«Оренбургский государственный медицинский университет»</w:t>
      </w:r>
    </w:p>
    <w:p>
      <w:pPr>
        <w:pStyle w:val="Normal"/>
        <w:jc w:val="both"/>
        <w:rPr/>
      </w:pPr>
      <w:r>
        <w:rPr/>
        <w:t>Министерства здравоохранения Российской Федерации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ФОНД ОЦЕНОЧНЫХ СРЕДСТВ 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rPr>
          <w:b/>
          <w:b/>
          <w:color w:val="000000"/>
        </w:rPr>
      </w:pPr>
      <w:r>
        <w:rPr>
          <w:b/>
          <w:color w:val="000000"/>
        </w:rPr>
        <w:t xml:space="preserve">ДЛЯ ПРОВЕДЕНИЯ ТЕКУЩЕГО </w:t>
      </w:r>
    </w:p>
    <w:p>
      <w:pPr>
        <w:pStyle w:val="Normal"/>
        <w:rPr>
          <w:b/>
          <w:b/>
          <w:color w:val="000000"/>
        </w:rPr>
      </w:pPr>
      <w:r>
        <w:rPr>
          <w:b/>
          <w:color w:val="000000"/>
        </w:rPr>
        <w:t xml:space="preserve">КОНТРОЛЯ УСПЕВАЕМОСТИ И ПРОМЕЖУТОЧНОЙ АТТЕСТАЦИИ </w:t>
      </w:r>
    </w:p>
    <w:p>
      <w:pPr>
        <w:pStyle w:val="Normal"/>
        <w:rPr>
          <w:b/>
          <w:b/>
          <w:color w:val="000000"/>
        </w:rPr>
      </w:pPr>
      <w:r>
        <w:rPr>
          <w:b/>
          <w:color w:val="000000"/>
        </w:rPr>
        <w:t>ОБУЧАЮЩИХСЯ ПО ОБЯЗАТЕЛЬНОЙ ДИСЦИПЛИНЕ «ФУНКЦИОНАЛЬНАЯ ДИАГНОСТИКА»</w:t>
      </w:r>
    </w:p>
    <w:p>
      <w:pPr>
        <w:pStyle w:val="Normal"/>
        <w:rPr/>
      </w:pPr>
      <w:r>
        <w:rPr/>
        <w:t>___________________________</w:t>
      </w:r>
    </w:p>
    <w:p>
      <w:pPr>
        <w:pStyle w:val="Normal"/>
        <w:rPr/>
      </w:pPr>
      <w:r>
        <w:rPr/>
        <w:t>по специальности</w:t>
      </w:r>
    </w:p>
    <w:p>
      <w:pPr>
        <w:pStyle w:val="Normal"/>
        <w:rPr/>
      </w:pPr>
      <w:r>
        <w:rPr/>
      </w:r>
    </w:p>
    <w:p>
      <w:pPr>
        <w:pStyle w:val="Normal"/>
        <w:rPr>
          <w:b/>
          <w:b/>
          <w:u w:val="single"/>
        </w:rPr>
      </w:pPr>
      <w:r>
        <w:rPr>
          <w:b/>
          <w:u w:val="single"/>
        </w:rPr>
        <w:t>31.08.11 УЛЬТРАЗВУКОВАЯ ДИАГНОСТИКА</w:t>
      </w:r>
    </w:p>
    <w:p>
      <w:pPr>
        <w:pStyle w:val="Normal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rPr>
          <w:color w:val="000000"/>
        </w:rPr>
      </w:pPr>
      <w:r>
        <w:rPr>
          <w:color w:val="000000"/>
        </w:rPr>
        <w:t>Является частью основной профессиональной образовательной программы высшего образования по специальности 31.08.11 «Ультразвуковая диагностика», утвержденной ученым советом ФГБОУ ВО ОрГМУ Минздрава России</w:t>
      </w:r>
    </w:p>
    <w:p>
      <w:pPr>
        <w:pStyle w:val="Normal"/>
        <w:ind w:firstLine="709"/>
        <w:rPr>
          <w:color w:val="000000"/>
        </w:rPr>
      </w:pPr>
      <w:r>
        <w:rPr>
          <w:color w:val="000000"/>
        </w:rPr>
      </w:r>
    </w:p>
    <w:p>
      <w:pPr>
        <w:pStyle w:val="Normal"/>
        <w:rPr>
          <w:color w:val="000000"/>
        </w:rPr>
      </w:pPr>
      <w:r>
        <w:rPr>
          <w:color w:val="000000"/>
        </w:rPr>
        <w:t>протокол № _________  от «___» ______________20___</w:t>
      </w:r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/>
      </w:pPr>
      <w:r>
        <w:rPr/>
        <w:t>Оренбург</w:t>
      </w:r>
      <w:r>
        <w:br w:type="page"/>
      </w:r>
    </w:p>
    <w:p>
      <w:pPr>
        <w:pStyle w:val="ListParagraph"/>
        <w:numPr>
          <w:ilvl w:val="0"/>
          <w:numId w:val="0"/>
        </w:numPr>
        <w:spacing w:before="0" w:after="160"/>
        <w:ind w:left="709" w:hanging="0"/>
        <w:contextualSpacing/>
        <w:outlineLvl w:val="0"/>
        <w:rPr>
          <w:rFonts w:ascii="Times New Roman" w:hAnsi="Times New Roman"/>
          <w:b/>
          <w:b/>
          <w:color w:val="000000"/>
          <w:sz w:val="24"/>
          <w:szCs w:val="24"/>
        </w:rPr>
      </w:pPr>
      <w:bookmarkStart w:id="0" w:name="_Toc535164689"/>
      <w:r>
        <w:rPr>
          <w:rFonts w:ascii="Times New Roman" w:hAnsi="Times New Roman"/>
          <w:b/>
          <w:color w:val="000000"/>
          <w:sz w:val="24"/>
          <w:szCs w:val="24"/>
        </w:rPr>
        <w:t>1.Паспорт фонда оценочных средств</w:t>
      </w:r>
      <w:bookmarkEnd w:id="0"/>
    </w:p>
    <w:p>
      <w:pPr>
        <w:pStyle w:val="ListParagraph"/>
        <w:ind w:left="0" w:firstLine="709"/>
        <w:rPr>
          <w:rFonts w:ascii="Times New Roman" w:hAnsi="Times New Roman"/>
          <w:b/>
          <w:b/>
          <w:i/>
          <w:i/>
          <w:color w:val="000000"/>
          <w:sz w:val="24"/>
          <w:szCs w:val="24"/>
        </w:rPr>
      </w:pPr>
      <w:r>
        <w:rPr>
          <w:rFonts w:ascii="Times New Roman" w:hAnsi="Times New Roman"/>
          <w:b/>
          <w:i/>
          <w:color w:val="000000"/>
          <w:sz w:val="24"/>
          <w:szCs w:val="24"/>
        </w:rPr>
      </w:r>
    </w:p>
    <w:p>
      <w:pPr>
        <w:pStyle w:val="ListParagraph"/>
        <w:ind w:left="0" w:firstLine="709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Фонд оценочных средств по дисциплине содержит типовые контрольно-оценочные материалы для текущего контроля успеваемости обучающихся, в том числе контроля самостоятельной работы обучающихся, а также для контроля сформированных в процессе изучения дисциплины результатов обучения на промежуточной аттестации в форме зачета.</w:t>
      </w:r>
    </w:p>
    <w:p>
      <w:pPr>
        <w:pStyle w:val="ListParagraph"/>
        <w:ind w:left="0" w:firstLine="709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Контрольно-оценочные материалы текущего контроля успеваемости распределены по темам дисциплины и сопровождаются указанием используемых форм контроля и критериев оценивания. Контрольно – оценочные материалы для промежуточной аттестации соответствуют форме промежуточной аттестации по дисциплине, определенной в учебной плане ОПОП и направлены на проверку сформированности знаний, умений и навыков по каждой компетенции, установленной в рабочей программе дисциплины.</w:t>
      </w:r>
    </w:p>
    <w:p>
      <w:pPr>
        <w:pStyle w:val="ListParagraph"/>
        <w:ind w:left="0" w:firstLine="709"/>
        <w:rPr>
          <w:rFonts w:ascii="Times New Roman" w:hAnsi="Times New Roman"/>
          <w:b/>
          <w:b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В результате изучения дисциплины у обучающегося формируются </w:t>
      </w:r>
      <w:r>
        <w:rPr>
          <w:rFonts w:ascii="Times New Roman" w:hAnsi="Times New Roman"/>
          <w:b/>
          <w:color w:val="000000"/>
          <w:sz w:val="24"/>
          <w:szCs w:val="24"/>
        </w:rPr>
        <w:t>следующие компетенции:</w:t>
      </w:r>
    </w:p>
    <w:p>
      <w:pPr>
        <w:pStyle w:val="Normal"/>
        <w:widowControl w:val="false"/>
        <w:spacing w:before="0" w:after="0"/>
        <w:contextualSpacing/>
        <w:rPr>
          <w:rFonts w:eastAsia="Calibri"/>
        </w:rPr>
      </w:pPr>
      <w:r>
        <w:rPr>
          <w:rFonts w:eastAsia="Calibri"/>
          <w:b/>
        </w:rPr>
        <w:t>ПК-3</w:t>
      </w:r>
      <w:r>
        <w:rPr>
          <w:rFonts w:eastAsia="Calibri"/>
        </w:rPr>
        <w:t xml:space="preserve"> – готовность к проведению противоэпидемических мероприятий, организации защиты населения в очагах особо опасных инфекций, при ухудшении радиационной обстановки, стихийных бедствиях и иных чрезвычайных ситуациях.</w:t>
      </w:r>
    </w:p>
    <w:p>
      <w:pPr>
        <w:pStyle w:val="Normal"/>
        <w:widowControl w:val="false"/>
        <w:spacing w:before="0" w:after="0"/>
        <w:contextualSpacing/>
        <w:rPr>
          <w:rFonts w:eastAsia="Calibri"/>
        </w:rPr>
      </w:pPr>
      <w:r>
        <w:rPr>
          <w:rFonts w:eastAsia="Calibri"/>
          <w:b/>
        </w:rPr>
        <w:t xml:space="preserve">ПК-5 – </w:t>
      </w:r>
      <w:r>
        <w:rPr>
          <w:rFonts w:eastAsia="Calibri"/>
        </w:rPr>
        <w:t>готовность к определению у пациентов патологических состояний, симптомов, синдромов заболеваний, нозологических форм в соответствии с Международной статистической классификацией болезней и проблем, связанных со здоровьем.</w:t>
      </w:r>
    </w:p>
    <w:p>
      <w:pPr>
        <w:pStyle w:val="Normal"/>
        <w:rPr>
          <w:color w:val="000000"/>
          <w:sz w:val="22"/>
          <w:szCs w:val="22"/>
        </w:rPr>
      </w:pPr>
      <w:r>
        <w:rPr>
          <w:rFonts w:eastAsia="Calibri"/>
          <w:b/>
        </w:rPr>
        <w:t>ПК-6</w:t>
      </w:r>
      <w:r>
        <w:rPr>
          <w:rFonts w:eastAsia="Calibri"/>
        </w:rPr>
        <w:t xml:space="preserve"> – </w:t>
      </w:r>
      <w:r>
        <w:rPr>
          <w:rFonts w:eastAsia="Calibri"/>
          <w:shd w:fill="FFFFFF" w:val="clear"/>
        </w:rPr>
        <w:t> </w:t>
      </w:r>
      <w:r>
        <w:rPr>
          <w:color w:val="000000"/>
          <w:sz w:val="22"/>
          <w:szCs w:val="22"/>
        </w:rPr>
        <w:t>готовность к применению методов ультразвуковой диагностики и интерпретации их результатов</w:t>
      </w:r>
    </w:p>
    <w:p>
      <w:pPr>
        <w:pStyle w:val="Normal"/>
        <w:widowControl w:val="false"/>
        <w:spacing w:before="0" w:after="0"/>
        <w:contextualSpacing/>
        <w:rPr>
          <w:rFonts w:eastAsia="Calibri"/>
          <w:b/>
          <w:b/>
        </w:rPr>
      </w:pPr>
      <w:r>
        <w:rPr>
          <w:rFonts w:eastAsia="Calibri"/>
          <w:b/>
          <w:shd w:fill="FFFFFF" w:val="clear"/>
        </w:rPr>
        <w:t>ПК-7 -</w:t>
      </w:r>
      <w:r>
        <w:rPr>
          <w:rFonts w:eastAsia="Calibri"/>
        </w:rPr>
        <w:t xml:space="preserve"> готовность к формированию у населения, пациентов и членов их семей мотивации, направленной на сохранение и укрепление своего здоровья и здоровья окружающих</w:t>
      </w:r>
    </w:p>
    <w:p>
      <w:pPr>
        <w:pStyle w:val="Normal"/>
        <w:widowControl w:val="false"/>
        <w:spacing w:before="0" w:after="0"/>
        <w:contextualSpacing/>
        <w:rPr>
          <w:rFonts w:eastAsia="Calibri"/>
          <w:shd w:fill="FFFFFF" w:val="clear"/>
        </w:rPr>
      </w:pPr>
      <w:r>
        <w:rPr>
          <w:rFonts w:eastAsia="Calibri"/>
          <w:b/>
        </w:rPr>
        <w:t>ПК-8</w:t>
      </w:r>
      <w:r>
        <w:rPr>
          <w:rFonts w:eastAsia="Calibri"/>
        </w:rPr>
        <w:t xml:space="preserve"> – готовность к применению основных принципов организации и управления в сфере охраны здоровья граждан, в медицинских организациях и их структурных подразделениях</w:t>
      </w:r>
    </w:p>
    <w:p>
      <w:pPr>
        <w:pStyle w:val="Normal"/>
        <w:widowControl w:val="false"/>
        <w:spacing w:before="0" w:after="0"/>
        <w:contextualSpacing/>
        <w:rPr>
          <w:rFonts w:eastAsia="Calibri"/>
        </w:rPr>
      </w:pPr>
      <w:r>
        <w:rPr>
          <w:rFonts w:eastAsia="Calibri"/>
          <w:b/>
        </w:rPr>
        <w:t xml:space="preserve">ПК-9 </w:t>
      </w:r>
      <w:r>
        <w:rPr>
          <w:rFonts w:eastAsia="Calibri"/>
        </w:rPr>
        <w:t>- готовность к участию в оценке качества оказания медицинской помощи с использованием основных медико-статистических показателей.</w:t>
      </w:r>
    </w:p>
    <w:p>
      <w:pPr>
        <w:pStyle w:val="Normal"/>
        <w:widowControl w:val="false"/>
        <w:spacing w:before="0" w:after="0"/>
        <w:contextualSpacing/>
        <w:rPr>
          <w:rFonts w:eastAsia="Calibri"/>
        </w:rPr>
      </w:pPr>
      <w:r>
        <w:rPr>
          <w:rFonts w:eastAsia="Calibri"/>
          <w:b/>
        </w:rPr>
        <w:t>ПК-10</w:t>
      </w:r>
      <w:r>
        <w:rPr>
          <w:rFonts w:eastAsia="Calibri"/>
        </w:rPr>
        <w:t xml:space="preserve"> - готовность к организации медицинской помощи при чрезвычайных ситуациях, в том числе медицинской эвакуации.</w:t>
      </w:r>
    </w:p>
    <w:p>
      <w:pPr>
        <w:pStyle w:val="ListParagraph"/>
        <w:ind w:left="0" w:firstLine="709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ListParagraph"/>
        <w:ind w:left="0" w:firstLine="709"/>
        <w:rPr>
          <w:rFonts w:ascii="Times New Roman" w:hAnsi="Times New Roman"/>
          <w:b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</w:r>
      <w:r>
        <w:br w:type="page"/>
      </w:r>
    </w:p>
    <w:p>
      <w:pPr>
        <w:pStyle w:val="ListParagraph"/>
        <w:ind w:left="0" w:firstLine="709"/>
        <w:rPr>
          <w:rFonts w:ascii="Times New Roman" w:hAnsi="Times New Roman"/>
          <w:b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Оценочные материалы по каждой теме дисциплины</w:t>
      </w:r>
    </w:p>
    <w:p>
      <w:pPr>
        <w:pStyle w:val="Normal"/>
        <w:ind w:firstLine="709"/>
        <w:jc w:val="both"/>
        <w:rPr>
          <w:i/>
          <w:i/>
          <w:color w:val="000000"/>
        </w:rPr>
      </w:pPr>
      <w:r>
        <w:rPr>
          <w:b/>
          <w:color w:val="000000"/>
        </w:rPr>
        <w:t>Тема №</w:t>
      </w:r>
      <w:r>
        <w:rPr>
          <w:b/>
          <w:color w:val="000000"/>
        </w:rPr>
        <w:fldChar w:fldCharType="begin"/>
      </w:r>
      <w:r>
        <w:rPr>
          <w:b/>
          <w:color w:val="000000"/>
        </w:rPr>
        <w:instrText> SEQ AutoNr \* ARABIC </w:instrText>
      </w:r>
      <w:r>
        <w:rPr>
          <w:b/>
          <w:color w:val="000000"/>
        </w:rPr>
        <w:fldChar w:fldCharType="separate"/>
      </w:r>
      <w:r>
        <w:rPr>
          <w:b/>
          <w:color w:val="000000"/>
        </w:rPr>
        <w:t>1</w:t>
      </w:r>
      <w:r>
        <w:rPr>
          <w:b/>
          <w:color w:val="000000"/>
        </w:rPr>
        <w:fldChar w:fldCharType="end"/>
      </w:r>
      <w:r>
        <w:rPr>
          <w:color w:val="000000"/>
          <w:u w:val="single"/>
        </w:rPr>
        <w:t xml:space="preserve"> </w:t>
      </w:r>
      <w:r>
        <w:rPr>
          <w:b/>
        </w:rPr>
        <w:t>«Техника снятия ЭКГ».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b/>
          <w:color w:val="000000"/>
        </w:rPr>
        <w:t>Формы текущего контроля</w:t>
      </w:r>
      <w:r>
        <w:rPr>
          <w:color w:val="000000"/>
        </w:rPr>
        <w:t xml:space="preserve"> </w:t>
      </w:r>
      <w:r>
        <w:rPr>
          <w:b/>
          <w:color w:val="000000"/>
        </w:rPr>
        <w:t>успеваемости</w:t>
      </w:r>
      <w:r>
        <w:rPr>
          <w:i/>
          <w:color w:val="000000"/>
        </w:rPr>
        <w:t xml:space="preserve">: </w:t>
      </w:r>
      <w:r>
        <w:rPr>
          <w:color w:val="000000"/>
        </w:rPr>
        <w:t>решение проблемно–ситуационных задач; устный опрос; тестирование; проверка практических навыков</w:t>
      </w:r>
    </w:p>
    <w:p>
      <w:pPr>
        <w:pStyle w:val="Normal"/>
        <w:ind w:firstLine="709"/>
        <w:jc w:val="both"/>
        <w:rPr>
          <w:i/>
          <w:i/>
          <w:color w:val="000000"/>
        </w:rPr>
      </w:pPr>
      <w:r>
        <w:rPr>
          <w:b/>
          <w:color w:val="000000"/>
        </w:rPr>
        <w:t>Оценочные материалы текущего контроля успеваемости</w:t>
      </w:r>
      <w:r>
        <w:rPr>
          <w:i/>
          <w:color w:val="000000"/>
        </w:rPr>
        <w:t xml:space="preserve"> 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Вопросы для устного опроса</w:t>
      </w:r>
    </w:p>
    <w:p>
      <w:pPr>
        <w:pStyle w:val="Normal"/>
        <w:ind w:firstLine="709"/>
        <w:jc w:val="both"/>
        <w:rPr/>
      </w:pPr>
      <w:r>
        <w:rPr/>
        <w:t xml:space="preserve">     </w:t>
      </w:r>
      <w:r>
        <w:rPr/>
        <w:t>- устройство электрокардиографа</w:t>
      </w:r>
    </w:p>
    <w:p>
      <w:pPr>
        <w:pStyle w:val="Normal"/>
        <w:ind w:firstLine="709"/>
        <w:jc w:val="both"/>
        <w:rPr/>
      </w:pPr>
      <w:r>
        <w:rPr/>
        <w:t xml:space="preserve">     </w:t>
      </w:r>
      <w:r>
        <w:rPr/>
        <w:t>- требование к кабинету при установке аппарата (ЭКГ)</w:t>
      </w:r>
    </w:p>
    <w:p>
      <w:pPr>
        <w:pStyle w:val="Normal"/>
        <w:ind w:firstLine="709"/>
        <w:jc w:val="both"/>
        <w:rPr/>
      </w:pPr>
      <w:r>
        <w:rPr/>
        <w:t xml:space="preserve">     </w:t>
      </w:r>
      <w:r>
        <w:rPr/>
        <w:t>- техника безопасности при работе с электрокардиографом</w:t>
      </w:r>
    </w:p>
    <w:p>
      <w:pPr>
        <w:pStyle w:val="Normal"/>
        <w:ind w:firstLine="709"/>
        <w:jc w:val="both"/>
        <w:rPr/>
      </w:pPr>
      <w:r>
        <w:rPr/>
        <w:t xml:space="preserve">     </w:t>
      </w:r>
      <w:r>
        <w:rPr/>
        <w:t>- подготовка пациента к исследованию</w:t>
      </w:r>
    </w:p>
    <w:p>
      <w:pPr>
        <w:pStyle w:val="Normal"/>
        <w:ind w:firstLine="709"/>
        <w:jc w:val="both"/>
        <w:rPr/>
      </w:pPr>
      <w:r>
        <w:rPr/>
        <w:t xml:space="preserve">     </w:t>
      </w:r>
      <w:r>
        <w:rPr/>
        <w:t>- методика наложения электродов</w:t>
      </w:r>
    </w:p>
    <w:p>
      <w:pPr>
        <w:pStyle w:val="Normal"/>
        <w:ind w:firstLine="709"/>
        <w:jc w:val="both"/>
        <w:rPr/>
      </w:pPr>
      <w:r>
        <w:rPr/>
        <w:t xml:space="preserve">     </w:t>
      </w:r>
      <w:r>
        <w:rPr/>
        <w:t xml:space="preserve">- работа на аппарате </w:t>
      </w:r>
    </w:p>
    <w:p>
      <w:pPr>
        <w:pStyle w:val="Normal"/>
        <w:ind w:firstLine="709"/>
        <w:jc w:val="both"/>
        <w:rPr/>
      </w:pPr>
      <w:r>
        <w:rPr/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Практические задания для демонстрации практических навыков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Задание  № 1. </w:t>
      </w:r>
    </w:p>
    <w:p>
      <w:pPr>
        <w:pStyle w:val="Normal"/>
        <w:jc w:val="both"/>
        <w:rPr/>
      </w:pPr>
      <w:r>
        <w:rPr/>
        <w:t>Подготовить и наложить электроды от конечностей.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/>
      </w:pPr>
      <w:r>
        <w:rPr/>
        <w:t>Задание2 :</w:t>
      </w:r>
    </w:p>
    <w:p>
      <w:pPr>
        <w:pStyle w:val="Normal"/>
        <w:jc w:val="both"/>
        <w:rPr/>
      </w:pPr>
      <w:r>
        <w:rPr/>
        <w:t>1.</w:t>
        <w:tab/>
        <w:t>правила подготовки пациента к исследованию.</w:t>
      </w:r>
    </w:p>
    <w:p>
      <w:pPr>
        <w:pStyle w:val="Normal"/>
        <w:jc w:val="both"/>
        <w:rPr/>
      </w:pPr>
      <w:r>
        <w:rPr/>
        <w:t>2.</w:t>
        <w:tab/>
        <w:t>точки наложения электродов.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/>
      </w:pPr>
      <w:r>
        <w:rPr/>
        <w:t>Подготовить и наложить грудные электроды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/>
      </w:pPr>
      <w:r>
        <w:rPr/>
        <w:t>Задание3:</w:t>
      </w:r>
    </w:p>
    <w:p>
      <w:pPr>
        <w:pStyle w:val="Normal"/>
        <w:jc w:val="both"/>
        <w:rPr/>
      </w:pPr>
      <w:r>
        <w:rPr/>
        <w:t>1.</w:t>
        <w:tab/>
        <w:t>правила подготовки пациента к исследованию.</w:t>
      </w:r>
    </w:p>
    <w:p>
      <w:pPr>
        <w:pStyle w:val="Normal"/>
        <w:jc w:val="both"/>
        <w:rPr/>
      </w:pPr>
      <w:r>
        <w:rPr/>
        <w:t>2.</w:t>
        <w:tab/>
        <w:t>точки наложения электродов.</w:t>
      </w:r>
    </w:p>
    <w:p>
      <w:pPr>
        <w:pStyle w:val="Normal"/>
        <w:jc w:val="both"/>
        <w:rPr/>
      </w:pPr>
      <w:r>
        <w:rPr/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Задание 4</w:t>
      </w:r>
    </w:p>
    <w:p>
      <w:pPr>
        <w:pStyle w:val="ListParagraph"/>
        <w:ind w:left="1069" w:hanging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Провести подготовку пациента к исследованию </w:t>
      </w:r>
    </w:p>
    <w:p>
      <w:pPr>
        <w:pStyle w:val="ListParagraph"/>
        <w:ind w:left="1069" w:hanging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5 Подготовить аппарат ЭКГ к записи </w:t>
      </w:r>
    </w:p>
    <w:p>
      <w:pPr>
        <w:pStyle w:val="ListParagraph"/>
        <w:ind w:left="1069" w:hanging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6 Провести запись ЭКГ </w:t>
      </w:r>
    </w:p>
    <w:p>
      <w:pPr>
        <w:pStyle w:val="ListParagraph"/>
        <w:ind w:left="1069" w:hanging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i/>
          <w:i/>
          <w:color w:val="000000"/>
        </w:rPr>
      </w:pPr>
      <w:r>
        <w:rPr>
          <w:b/>
          <w:color w:val="000000"/>
        </w:rPr>
        <w:t>Тема №</w:t>
      </w:r>
      <w:r>
        <w:rPr>
          <w:b/>
          <w:color w:val="000000"/>
        </w:rPr>
        <w:fldChar w:fldCharType="begin"/>
      </w:r>
      <w:r>
        <w:rPr>
          <w:b/>
          <w:color w:val="000000"/>
        </w:rPr>
        <w:instrText> SEQ AutoNr \* ARABIC </w:instrText>
      </w:r>
      <w:r>
        <w:rPr>
          <w:b/>
          <w:color w:val="000000"/>
        </w:rPr>
        <w:fldChar w:fldCharType="separate"/>
      </w:r>
      <w:r>
        <w:rPr>
          <w:b/>
          <w:color w:val="000000"/>
        </w:rPr>
        <w:t>2</w:t>
      </w:r>
      <w:r>
        <w:rPr>
          <w:b/>
          <w:color w:val="000000"/>
        </w:rPr>
        <w:fldChar w:fldCharType="end"/>
      </w:r>
      <w:r>
        <w:rPr>
          <w:color w:val="000000"/>
          <w:u w:val="single"/>
        </w:rPr>
        <w:t xml:space="preserve"> </w:t>
      </w:r>
      <w:r>
        <w:rPr>
          <w:b/>
        </w:rPr>
        <w:t>«Анализ нормальной ЭКГ».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b/>
          <w:color w:val="000000"/>
        </w:rPr>
        <w:t>Формы текущего контроля</w:t>
      </w:r>
      <w:r>
        <w:rPr>
          <w:color w:val="000000"/>
        </w:rPr>
        <w:t xml:space="preserve"> </w:t>
      </w:r>
      <w:r>
        <w:rPr>
          <w:b/>
          <w:color w:val="000000"/>
        </w:rPr>
        <w:t>успеваемости</w:t>
      </w:r>
      <w:r>
        <w:rPr>
          <w:i/>
          <w:color w:val="000000"/>
        </w:rPr>
        <w:t xml:space="preserve">: </w:t>
      </w:r>
      <w:r>
        <w:rPr>
          <w:color w:val="000000"/>
        </w:rPr>
        <w:t>решение проблемно–ситуационных задач; устный опрос; тестирование; проверка практических навыков</w:t>
      </w:r>
    </w:p>
    <w:p>
      <w:pPr>
        <w:pStyle w:val="Normal"/>
        <w:ind w:firstLine="709"/>
        <w:jc w:val="both"/>
        <w:rPr>
          <w:i/>
          <w:i/>
          <w:color w:val="000000"/>
        </w:rPr>
      </w:pPr>
      <w:r>
        <w:rPr>
          <w:b/>
          <w:color w:val="000000"/>
        </w:rPr>
        <w:t>Оценочные материалы текущего контроля успеваемости</w:t>
      </w:r>
      <w:r>
        <w:rPr>
          <w:i/>
          <w:color w:val="000000"/>
        </w:rPr>
        <w:t xml:space="preserve"> 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Вопросы для устного опроса</w:t>
      </w:r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/>
      </w:pPr>
      <w:r>
        <w:rPr/>
        <w:t>проводящая система сердца у детей</w:t>
      </w:r>
    </w:p>
    <w:p>
      <w:pPr>
        <w:pStyle w:val="Normal"/>
        <w:jc w:val="both"/>
        <w:rPr/>
      </w:pPr>
      <w:r>
        <w:rPr/>
        <w:t>функции проводящей системы сердца</w:t>
      </w:r>
    </w:p>
    <w:p>
      <w:pPr>
        <w:pStyle w:val="Normal"/>
        <w:jc w:val="both"/>
        <w:rPr/>
      </w:pPr>
      <w:r>
        <w:rPr/>
        <w:t>зубцы и интервалы ЭКГ в норме и при патологии</w:t>
      </w:r>
    </w:p>
    <w:p>
      <w:pPr>
        <w:pStyle w:val="Normal"/>
        <w:jc w:val="both"/>
        <w:rPr/>
      </w:pPr>
      <w:r>
        <w:rPr/>
        <w:t>расшифровка ЭКГ</w:t>
      </w:r>
    </w:p>
    <w:p>
      <w:pPr>
        <w:pStyle w:val="Normal"/>
        <w:jc w:val="both"/>
        <w:rPr>
          <w:b/>
          <w:b/>
          <w:i/>
          <w:i/>
          <w:color w:val="000000"/>
        </w:rPr>
      </w:pPr>
      <w:r>
        <w:rPr/>
        <w:t>подсчёт зубцов и интервалов ЭКГ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Тексты ситуационных задач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/>
        <w:drawing>
          <wp:inline distT="0" distB="0" distL="0" distR="0">
            <wp:extent cx="5940425" cy="3034030"/>
            <wp:effectExtent l="0" t="0" r="0" b="0"/>
            <wp:docPr id="1" name="Picture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6"/>
        </w:numPr>
        <w:jc w:val="both"/>
        <w:rPr>
          <w:color w:val="000000"/>
        </w:rPr>
      </w:pPr>
      <w:r>
        <w:rPr>
          <w:color w:val="000000"/>
        </w:rPr>
        <w:t>Определите электрическую ось сердца.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 xml:space="preserve">Эталон ответа . </w:t>
      </w:r>
    </w:p>
    <w:p>
      <w:pPr>
        <w:pStyle w:val="Normal"/>
        <w:jc w:val="both"/>
        <w:rPr>
          <w:b/>
          <w:b/>
          <w:i/>
          <w:i/>
          <w:color w:val="000000"/>
        </w:rPr>
      </w:pPr>
      <w:r>
        <w:rPr>
          <w:color w:val="000000"/>
        </w:rPr>
        <w:t>ЭОС отклонена вправо</w:t>
      </w:r>
    </w:p>
    <w:p>
      <w:pPr>
        <w:pStyle w:val="Normal"/>
        <w:ind w:firstLine="709"/>
        <w:jc w:val="both"/>
        <w:rPr>
          <w:color w:val="000000"/>
        </w:rPr>
      </w:pPr>
      <w:r>
        <w:rPr/>
        <w:drawing>
          <wp:inline distT="0" distB="0" distL="0" distR="0">
            <wp:extent cx="4572635" cy="3429635"/>
            <wp:effectExtent l="0" t="0" r="0" b="0"/>
            <wp:docPr id="2" name="Рисунок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8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7"/>
        </w:numPr>
        <w:jc w:val="both"/>
        <w:rPr>
          <w:color w:val="000000"/>
        </w:rPr>
      </w:pPr>
      <w:r>
        <w:rPr>
          <w:color w:val="000000"/>
        </w:rPr>
        <w:t>Определите электрическую ось сердца.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 xml:space="preserve">Эталон ответа . </w:t>
      </w:r>
    </w:p>
    <w:p>
      <w:pPr>
        <w:pStyle w:val="Normal"/>
        <w:jc w:val="both"/>
        <w:rPr>
          <w:color w:val="000000"/>
        </w:rPr>
      </w:pPr>
      <w:r>
        <w:rPr>
          <w:color w:val="000000"/>
        </w:rPr>
        <w:t>ЭОС отклонена влево.</w:t>
      </w:r>
    </w:p>
    <w:p>
      <w:pPr>
        <w:pStyle w:val="Normal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jc w:val="both"/>
        <w:rPr>
          <w:b/>
          <w:b/>
          <w:i/>
          <w:i/>
          <w:color w:val="000000"/>
        </w:rPr>
      </w:pPr>
      <w:r>
        <w:rPr/>
        <w:drawing>
          <wp:inline distT="0" distB="0" distL="0" distR="0">
            <wp:extent cx="4572000" cy="2298700"/>
            <wp:effectExtent l="0" t="0" r="0" b="0"/>
            <wp:docPr id="3" name="Рисунок 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9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0" t="32962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Ребенку 1 день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8"/>
        </w:numPr>
        <w:jc w:val="both"/>
        <w:rPr>
          <w:color w:val="000000"/>
        </w:rPr>
      </w:pPr>
      <w:r>
        <w:rPr>
          <w:color w:val="000000"/>
        </w:rPr>
        <w:t>Напишите ЭКГ заключение.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 xml:space="preserve">Эталон ответа . </w:t>
      </w:r>
    </w:p>
    <w:p>
      <w:pPr>
        <w:pStyle w:val="Normal"/>
        <w:jc w:val="both"/>
        <w:rPr>
          <w:color w:val="000000"/>
        </w:rPr>
      </w:pPr>
      <w:r>
        <w:rPr>
          <w:color w:val="000000"/>
        </w:rPr>
        <w:t>ЭОС отклонена право. Ритм синусовый, ЧСС 130 в 1мин.</w:t>
      </w:r>
    </w:p>
    <w:p>
      <w:pPr>
        <w:pStyle w:val="Normal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jc w:val="both"/>
        <w:rPr>
          <w:color w:val="000000"/>
        </w:rPr>
      </w:pPr>
      <w:r>
        <w:rPr/>
        <w:drawing>
          <wp:inline distT="0" distB="0" distL="0" distR="0">
            <wp:extent cx="4572000" cy="2603500"/>
            <wp:effectExtent l="0" t="0" r="0" b="0"/>
            <wp:docPr id="4" name="Рисунок 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20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0" t="24071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Ребенку 15 лет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9"/>
        </w:numPr>
        <w:jc w:val="both"/>
        <w:rPr>
          <w:color w:val="000000"/>
        </w:rPr>
      </w:pPr>
      <w:r>
        <w:rPr>
          <w:color w:val="000000"/>
        </w:rPr>
        <w:t>Напишите ЭКГ заключение.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 xml:space="preserve">Эталон ответа . </w:t>
      </w:r>
    </w:p>
    <w:p>
      <w:pPr>
        <w:pStyle w:val="Normal"/>
        <w:jc w:val="both"/>
        <w:rPr>
          <w:color w:val="000000"/>
        </w:rPr>
      </w:pPr>
      <w:r>
        <w:rPr>
          <w:color w:val="000000"/>
        </w:rPr>
        <w:t>Нормальное положение ЭОС. Ритм синусовый, ЧСС 75 в 1мин.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Тестовые задания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Для нормального синусового ритма характерно: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а)</w:t>
        <w:tab/>
        <w:t xml:space="preserve"> наличие зубцов Р синусового происхождения+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б)</w:t>
        <w:tab/>
        <w:t xml:space="preserve"> постоянное расстояние РР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в)</w:t>
        <w:tab/>
        <w:t xml:space="preserve"> наличие интервала PQ постоянной продолжительности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г)</w:t>
        <w:tab/>
        <w:t xml:space="preserve"> наличие зубцов q в I отведении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446" w:leader="none"/>
        </w:tabs>
        <w:spacing w:before="221" w:after="0"/>
        <w:jc w:val="both"/>
        <w:rPr/>
      </w:pPr>
      <w:r>
        <w:rPr>
          <w:color w:val="000000"/>
        </w:rPr>
        <w:t xml:space="preserve">Продолжительность интервала </w:t>
      </w:r>
      <w:r>
        <w:rPr>
          <w:color w:val="000000"/>
          <w:lang w:val="en-US"/>
        </w:rPr>
        <w:t>QT</w:t>
      </w:r>
      <w:r>
        <w:rPr>
          <w:color w:val="000000"/>
        </w:rPr>
        <w:t xml:space="preserve"> зависит в норме от: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7"/>
        </w:rPr>
        <w:t>а)</w:t>
      </w:r>
      <w:r>
        <w:rPr>
          <w:color w:val="000000"/>
        </w:rPr>
        <w:tab/>
        <w:t xml:space="preserve"> </w:t>
      </w:r>
      <w:r>
        <w:rPr>
          <w:color w:val="000000"/>
          <w:spacing w:val="-1"/>
        </w:rPr>
        <w:t>возраста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8"/>
        </w:rPr>
        <w:t>б)</w:t>
      </w:r>
      <w:r>
        <w:rPr>
          <w:color w:val="000000"/>
        </w:rPr>
        <w:tab/>
        <w:t xml:space="preserve"> частоты сердечных сокращений+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11"/>
        </w:rPr>
        <w:t>в)</w:t>
      </w:r>
      <w:r>
        <w:rPr>
          <w:color w:val="000000"/>
        </w:rPr>
        <w:tab/>
        <w:t xml:space="preserve"> </w:t>
      </w:r>
      <w:r>
        <w:rPr>
          <w:color w:val="000000"/>
          <w:spacing w:val="-4"/>
        </w:rPr>
        <w:t>пола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9"/>
        </w:rPr>
        <w:t>г)</w:t>
      </w:r>
      <w:r>
        <w:rPr>
          <w:color w:val="000000"/>
        </w:rPr>
        <w:tab/>
        <w:t xml:space="preserve"> </w:t>
      </w:r>
      <w:r>
        <w:rPr>
          <w:color w:val="000000"/>
          <w:spacing w:val="-2"/>
        </w:rPr>
        <w:t>роста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jc w:val="both"/>
        <w:rPr/>
      </w:pPr>
      <w:r>
        <w:rPr>
          <w:color w:val="000000"/>
          <w:spacing w:val="-1"/>
        </w:rPr>
        <w:t xml:space="preserve">Зубец Т на ЭКГ отражает </w:t>
      </w:r>
      <w:r>
        <w:rPr>
          <w:color w:val="000000"/>
        </w:rPr>
        <w:t>реполяризацию: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7"/>
        </w:rPr>
        <w:t>а)</w:t>
      </w:r>
      <w:r>
        <w:rPr>
          <w:color w:val="000000"/>
        </w:rPr>
        <w:tab/>
        <w:t xml:space="preserve"> </w:t>
      </w:r>
      <w:r>
        <w:rPr>
          <w:color w:val="000000"/>
          <w:spacing w:val="-1"/>
        </w:rPr>
        <w:t>обоих желудочков+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 xml:space="preserve">б) </w:t>
      </w:r>
      <w:r>
        <w:rPr>
          <w:color w:val="000000"/>
        </w:rPr>
        <w:t>только левого желудочка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11"/>
        </w:rPr>
        <w:t>в)</w:t>
      </w:r>
      <w:r>
        <w:rPr>
          <w:color w:val="000000"/>
        </w:rPr>
        <w:tab/>
        <w:t xml:space="preserve"> только правого желудочка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12"/>
        </w:rPr>
        <w:t>г)</w:t>
      </w:r>
      <w:r>
        <w:rPr>
          <w:color w:val="000000"/>
        </w:rPr>
        <w:tab/>
        <w:t xml:space="preserve"> левого и частично правого желудочков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451" w:leader="none"/>
        </w:tabs>
        <w:spacing w:before="230" w:after="0"/>
        <w:jc w:val="both"/>
        <w:rPr/>
      </w:pPr>
      <w:r>
        <w:rPr>
          <w:color w:val="000000"/>
        </w:rPr>
        <w:t xml:space="preserve">Сегмент </w:t>
      </w:r>
      <w:r>
        <w:rPr>
          <w:color w:val="000000"/>
          <w:lang w:val="en-US"/>
        </w:rPr>
        <w:t>ST</w:t>
      </w:r>
      <w:r>
        <w:rPr>
          <w:color w:val="000000"/>
        </w:rPr>
        <w:t xml:space="preserve"> в норме может быть:</w:t>
      </w:r>
    </w:p>
    <w:p>
      <w:pPr>
        <w:pStyle w:val="Normal"/>
        <w:shd w:val="clear" w:color="auto" w:fill="FFFFFF"/>
        <w:tabs>
          <w:tab w:val="clear" w:pos="708"/>
          <w:tab w:val="left" w:pos="206" w:leader="none"/>
        </w:tabs>
        <w:ind w:left="567" w:hanging="0"/>
        <w:jc w:val="both"/>
        <w:rPr/>
      </w:pPr>
      <w:r>
        <w:rPr>
          <w:color w:val="000000"/>
          <w:spacing w:val="-2"/>
        </w:rPr>
        <w:t>а)</w:t>
      </w:r>
      <w:r>
        <w:rPr>
          <w:color w:val="000000"/>
        </w:rPr>
        <w:tab/>
      </w:r>
      <w:r>
        <w:rPr>
          <w:color w:val="000000"/>
          <w:spacing w:val="1"/>
        </w:rPr>
        <w:t>слегка приподнятым над изолинией</w:t>
      </w:r>
    </w:p>
    <w:p>
      <w:pPr>
        <w:pStyle w:val="Normal"/>
        <w:shd w:val="clear" w:color="auto" w:fill="FFFFFF"/>
        <w:tabs>
          <w:tab w:val="clear" w:pos="708"/>
          <w:tab w:val="left" w:pos="206" w:leader="none"/>
        </w:tabs>
        <w:ind w:left="567" w:hanging="0"/>
        <w:jc w:val="both"/>
        <w:rPr/>
      </w:pPr>
      <w:r>
        <w:rPr>
          <w:color w:val="000000"/>
          <w:spacing w:val="-5"/>
        </w:rPr>
        <w:t>б)</w:t>
      </w:r>
      <w:r>
        <w:rPr>
          <w:color w:val="000000"/>
          <w:spacing w:val="-2"/>
        </w:rPr>
        <w:t>изоэлектричным+</w:t>
      </w:r>
    </w:p>
    <w:p>
      <w:pPr>
        <w:pStyle w:val="Normal"/>
        <w:shd w:val="clear" w:color="auto" w:fill="FFFFFF"/>
        <w:tabs>
          <w:tab w:val="clear" w:pos="708"/>
          <w:tab w:val="left" w:pos="206" w:leader="none"/>
        </w:tabs>
        <w:ind w:left="567" w:hanging="0"/>
        <w:jc w:val="both"/>
        <w:rPr/>
      </w:pPr>
      <w:r>
        <w:rPr>
          <w:color w:val="000000"/>
          <w:spacing w:val="-6"/>
        </w:rPr>
        <w:t>в)</w:t>
      </w:r>
      <w:r>
        <w:rPr>
          <w:color w:val="000000"/>
        </w:rPr>
        <w:tab/>
      </w:r>
      <w:r>
        <w:rPr>
          <w:color w:val="000000"/>
          <w:spacing w:val="-1"/>
        </w:rPr>
        <w:t>слегка сниженным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451" w:leader="none"/>
        </w:tabs>
        <w:spacing w:before="230" w:after="0"/>
        <w:jc w:val="both"/>
        <w:rPr/>
      </w:pPr>
      <w:r>
        <w:rPr>
          <w:color w:val="000000"/>
        </w:rPr>
        <w:t xml:space="preserve">Нормальный зубец </w:t>
      </w:r>
      <w:r>
        <w:rPr>
          <w:color w:val="000000"/>
          <w:lang w:val="en-US"/>
        </w:rPr>
        <w:t>Q</w:t>
      </w:r>
      <w:r>
        <w:rPr>
          <w:color w:val="000000"/>
        </w:rPr>
        <w:t xml:space="preserve"> отражает преимущественно деполяризацию: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2"/>
        </w:rPr>
        <w:t>а)</w:t>
      </w:r>
      <w:r>
        <w:rPr>
          <w:color w:val="000000"/>
        </w:rPr>
        <w:tab/>
        <w:t>межжелудочковой перегородки+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3"/>
        </w:rPr>
        <w:t>б)</w:t>
      </w:r>
      <w:r>
        <w:rPr>
          <w:color w:val="000000"/>
        </w:rPr>
        <w:t>левого желудочка в целом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4"/>
        </w:rPr>
        <w:t>в)</w:t>
      </w:r>
      <w:r>
        <w:rPr>
          <w:color w:val="000000"/>
          <w:spacing w:val="-1"/>
        </w:rPr>
        <w:t>верхушки сердца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5"/>
        </w:rPr>
        <w:t>г)</w:t>
      </w:r>
      <w:r>
        <w:rPr>
          <w:color w:val="000000"/>
        </w:rPr>
        <w:tab/>
      </w:r>
      <w:r>
        <w:rPr>
          <w:color w:val="000000"/>
          <w:spacing w:val="1"/>
        </w:rPr>
        <w:t>боковых отделов левого желудочка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451" w:leader="none"/>
        </w:tabs>
        <w:spacing w:before="226" w:after="0"/>
        <w:jc w:val="both"/>
        <w:rPr/>
      </w:pPr>
      <w:r>
        <w:rPr>
          <w:color w:val="000000"/>
        </w:rPr>
        <w:t xml:space="preserve">В комплексе </w:t>
      </w:r>
      <w:r>
        <w:rPr>
          <w:color w:val="000000"/>
          <w:lang w:val="en-US"/>
        </w:rPr>
        <w:t>QRS</w:t>
      </w:r>
      <w:r>
        <w:rPr>
          <w:color w:val="000000"/>
        </w:rPr>
        <w:t xml:space="preserve"> обычно анализируют: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а)</w:t>
      </w:r>
      <w:r>
        <w:rPr>
          <w:color w:val="000000"/>
        </w:rPr>
        <w:tab/>
      </w:r>
      <w:r>
        <w:rPr>
          <w:color w:val="000000"/>
          <w:spacing w:val="-1"/>
        </w:rPr>
        <w:t>амплитуду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б)</w:t>
      </w:r>
      <w:r>
        <w:rPr>
          <w:color w:val="000000"/>
          <w:spacing w:val="-1"/>
        </w:rPr>
        <w:t>продолжительность</w:t>
      </w:r>
    </w:p>
    <w:p>
      <w:pPr>
        <w:pStyle w:val="Normal"/>
        <w:shd w:val="clear" w:color="auto" w:fill="FFFFFF"/>
        <w:ind w:left="567" w:hanging="0"/>
        <w:jc w:val="both"/>
        <w:rPr>
          <w:color w:val="000000"/>
          <w:spacing w:val="-1"/>
        </w:rPr>
      </w:pPr>
      <w:r>
        <w:rPr>
          <w:color w:val="000000"/>
          <w:spacing w:val="-2"/>
        </w:rPr>
        <w:t>в)</w:t>
      </w:r>
      <w:r>
        <w:rPr>
          <w:color w:val="000000"/>
          <w:spacing w:val="-1"/>
        </w:rPr>
        <w:t>форму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1"/>
        </w:rPr>
        <w:t>г) Все перечисленное+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451" w:leader="none"/>
        </w:tabs>
        <w:spacing w:before="226" w:after="0"/>
        <w:jc w:val="both"/>
        <w:rPr/>
      </w:pPr>
      <w:r>
        <w:rPr>
          <w:color w:val="000000"/>
        </w:rPr>
        <w:t xml:space="preserve">Ширина комплекса </w:t>
      </w:r>
      <w:r>
        <w:rPr>
          <w:color w:val="000000"/>
          <w:lang w:val="en-US"/>
        </w:rPr>
        <w:t>QRS</w:t>
      </w:r>
      <w:r>
        <w:rPr>
          <w:color w:val="000000"/>
        </w:rPr>
        <w:t xml:space="preserve"> у подростков в норме: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а)</w:t>
      </w:r>
      <w:r>
        <w:rPr>
          <w:color w:val="000000"/>
        </w:rPr>
        <w:t>0,06-0,04 (до 0,10 сек.)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б)</w:t>
      </w:r>
      <w:r>
        <w:rPr>
          <w:color w:val="000000"/>
        </w:rPr>
        <w:t>0,02-0,05 (до 0,08 сек.)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в)</w:t>
      </w:r>
      <w:r>
        <w:rPr>
          <w:color w:val="000000"/>
        </w:rPr>
        <w:t>0,06-0,10 (до 0,12 сек.)+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9"/>
        </w:rPr>
        <w:t>г)</w:t>
      </w:r>
      <w:r>
        <w:rPr>
          <w:color w:val="000000"/>
        </w:rPr>
        <w:t>0,08-0,12 (до 0,14 сек.)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370" w:leader="none"/>
        </w:tabs>
        <w:spacing w:before="226" w:after="0"/>
        <w:jc w:val="both"/>
        <w:rPr/>
      </w:pPr>
      <w:r>
        <w:rPr>
          <w:color w:val="000000"/>
        </w:rPr>
        <w:t xml:space="preserve">На продолжительность интервала </w:t>
      </w:r>
      <w:r>
        <w:rPr>
          <w:color w:val="000000"/>
          <w:lang w:val="en-US"/>
        </w:rPr>
        <w:t>PQ</w:t>
      </w:r>
      <w:r>
        <w:rPr>
          <w:color w:val="000000"/>
        </w:rPr>
        <w:t xml:space="preserve"> влияет:</w:t>
      </w:r>
    </w:p>
    <w:p>
      <w:pPr>
        <w:pStyle w:val="Normal"/>
        <w:shd w:val="clear" w:color="auto" w:fill="FFFFFF"/>
        <w:tabs>
          <w:tab w:val="clear" w:pos="708"/>
          <w:tab w:val="left" w:pos="226" w:leader="none"/>
        </w:tabs>
        <w:ind w:left="567" w:hanging="0"/>
        <w:jc w:val="both"/>
        <w:rPr/>
      </w:pPr>
      <w:r>
        <w:rPr>
          <w:color w:val="000000"/>
          <w:spacing w:val="-7"/>
        </w:rPr>
        <w:t>а)</w:t>
      </w:r>
      <w:r>
        <w:rPr>
          <w:color w:val="000000"/>
        </w:rPr>
        <w:tab/>
        <w:t>возраст +</w:t>
      </w:r>
    </w:p>
    <w:p>
      <w:pPr>
        <w:pStyle w:val="Normal"/>
        <w:shd w:val="clear" w:color="auto" w:fill="FFFFFF"/>
        <w:tabs>
          <w:tab w:val="clear" w:pos="708"/>
          <w:tab w:val="left" w:pos="226" w:leader="none"/>
        </w:tabs>
        <w:ind w:left="567" w:hanging="0"/>
        <w:jc w:val="both"/>
        <w:rPr/>
      </w:pPr>
      <w:r>
        <w:rPr>
          <w:color w:val="000000"/>
          <w:spacing w:val="-8"/>
        </w:rPr>
        <w:t>б)</w:t>
      </w:r>
      <w:r>
        <w:rPr>
          <w:color w:val="000000"/>
        </w:rPr>
        <w:tab/>
        <w:t>частота ритма+</w:t>
      </w:r>
    </w:p>
    <w:p>
      <w:pPr>
        <w:pStyle w:val="Normal"/>
        <w:shd w:val="clear" w:color="auto" w:fill="FFFFFF"/>
        <w:tabs>
          <w:tab w:val="clear" w:pos="708"/>
          <w:tab w:val="left" w:pos="226" w:leader="none"/>
          <w:tab w:val="left" w:pos="2074" w:leader="none"/>
          <w:tab w:val="left" w:pos="3744" w:leader="none"/>
        </w:tabs>
        <w:ind w:left="567" w:hanging="0"/>
        <w:jc w:val="both"/>
        <w:rPr/>
      </w:pPr>
      <w:r>
        <w:rPr>
          <w:color w:val="000000"/>
          <w:spacing w:val="-8"/>
        </w:rPr>
        <w:t>в)</w:t>
      </w:r>
      <w:r>
        <w:rPr>
          <w:color w:val="000000"/>
          <w:spacing w:val="-2"/>
        </w:rPr>
        <w:t>масса тела</w:t>
      </w:r>
    </w:p>
    <w:p>
      <w:pPr>
        <w:pStyle w:val="Normal"/>
        <w:shd w:val="clear" w:color="auto" w:fill="FFFFFF"/>
        <w:tabs>
          <w:tab w:val="clear" w:pos="708"/>
          <w:tab w:val="left" w:pos="226" w:leader="none"/>
        </w:tabs>
        <w:ind w:left="567" w:hanging="0"/>
        <w:jc w:val="both"/>
        <w:rPr/>
      </w:pPr>
      <w:r>
        <w:rPr>
          <w:color w:val="000000"/>
          <w:spacing w:val="-9"/>
        </w:rPr>
        <w:t>г)</w:t>
      </w:r>
      <w:r>
        <w:rPr>
          <w:color w:val="000000"/>
        </w:rPr>
        <w:tab/>
      </w:r>
      <w:r>
        <w:rPr>
          <w:color w:val="000000"/>
          <w:spacing w:val="3"/>
        </w:rPr>
        <w:t>рост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370" w:leader="none"/>
        </w:tabs>
        <w:spacing w:before="312" w:after="0"/>
        <w:jc w:val="both"/>
        <w:rPr/>
      </w:pPr>
      <w:r>
        <w:rPr>
          <w:color w:val="000000"/>
        </w:rPr>
        <w:t xml:space="preserve">Зубцы </w:t>
      </w:r>
      <w:r>
        <w:rPr>
          <w:color w:val="000000"/>
          <w:lang w:val="en-US"/>
        </w:rPr>
        <w:t>PV</w:t>
      </w:r>
      <w:r>
        <w:rPr>
          <w:color w:val="000000"/>
        </w:rPr>
        <w:t xml:space="preserve">5, </w:t>
      </w:r>
      <w:r>
        <w:rPr>
          <w:color w:val="000000"/>
          <w:lang w:val="en-US"/>
        </w:rPr>
        <w:t>PV</w:t>
      </w:r>
      <w:r>
        <w:rPr>
          <w:color w:val="000000"/>
        </w:rPr>
        <w:t>6 обычно в норме: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7"/>
        </w:rPr>
        <w:t>а)</w:t>
      </w:r>
      <w:r>
        <w:rPr>
          <w:color w:val="000000"/>
        </w:rPr>
        <w:tab/>
      </w:r>
      <w:r>
        <w:rPr>
          <w:color w:val="000000"/>
          <w:spacing w:val="-1"/>
        </w:rPr>
        <w:t>положительные+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б)</w:t>
      </w:r>
      <w:r>
        <w:rPr>
          <w:color w:val="000000"/>
          <w:spacing w:val="-1"/>
        </w:rPr>
        <w:t>отрицательные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9"/>
        </w:rPr>
        <w:t>в)</w:t>
      </w:r>
      <w:r>
        <w:rPr>
          <w:color w:val="000000"/>
        </w:rPr>
        <w:tab/>
        <w:t>низкоамплитудные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9"/>
        </w:rPr>
        <w:t>г)</w:t>
      </w:r>
      <w:r>
        <w:rPr>
          <w:color w:val="000000"/>
        </w:rPr>
        <w:tab/>
        <w:t>высокоамплитудные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370" w:leader="none"/>
        </w:tabs>
        <w:spacing w:before="226" w:after="0"/>
        <w:jc w:val="both"/>
        <w:rPr/>
      </w:pPr>
      <w:r>
        <w:rPr>
          <w:color w:val="000000"/>
        </w:rPr>
        <w:t xml:space="preserve">Первая фаза зубца </w:t>
      </w:r>
      <w:r>
        <w:rPr>
          <w:color w:val="000000"/>
          <w:lang w:val="en-US"/>
        </w:rPr>
        <w:t>PVl</w:t>
      </w:r>
      <w:r>
        <w:rPr>
          <w:color w:val="000000"/>
        </w:rPr>
        <w:t xml:space="preserve"> имеет: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7"/>
        </w:rPr>
        <w:t>а)</w:t>
      </w:r>
      <w:r>
        <w:rPr>
          <w:color w:val="000000"/>
        </w:rPr>
        <w:t>положительное направление+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б)</w:t>
      </w:r>
      <w:r>
        <w:rPr>
          <w:color w:val="000000"/>
          <w:spacing w:val="1"/>
        </w:rPr>
        <w:t>отрицательное направление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8"/>
        </w:rPr>
        <w:t>в)</w:t>
      </w:r>
      <w:r>
        <w:rPr>
          <w:color w:val="000000"/>
          <w:spacing w:val="1"/>
        </w:rPr>
        <w:t>неопределенное направление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12"/>
        </w:rPr>
        <w:t>г)</w:t>
      </w:r>
      <w:r>
        <w:rPr>
          <w:color w:val="000000"/>
          <w:spacing w:val="1"/>
        </w:rPr>
        <w:t>двухкомпонентную структуру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370" w:leader="none"/>
        </w:tabs>
        <w:spacing w:before="226" w:after="0"/>
        <w:ind w:left="567" w:hanging="567"/>
        <w:jc w:val="both"/>
        <w:rPr/>
      </w:pPr>
      <w:r>
        <w:rPr>
          <w:color w:val="000000"/>
        </w:rPr>
        <w:t>Наиболее частое в норме соотношение зубцов "Р" в стандартных отведениях следующее:</w:t>
        <w:br/>
      </w:r>
      <w:r>
        <w:rPr>
          <w:color w:val="000000"/>
          <w:lang w:val="en-US"/>
        </w:rPr>
        <w:t>a</w:t>
      </w:r>
      <w:r>
        <w:rPr>
          <w:color w:val="000000"/>
        </w:rPr>
        <w:t xml:space="preserve">) </w:t>
      </w:r>
      <w:r>
        <w:rPr>
          <w:color w:val="000000"/>
          <w:lang w:val="en-US"/>
        </w:rPr>
        <w:t>PI</w:t>
      </w:r>
      <w:r>
        <w:rPr>
          <w:color w:val="000000"/>
        </w:rPr>
        <w:t xml:space="preserve"> &gt; Р</w:t>
      </w:r>
      <w:r>
        <w:rPr>
          <w:color w:val="000000"/>
          <w:lang w:val="en-US"/>
        </w:rPr>
        <w:t>III</w:t>
      </w:r>
      <w:r>
        <w:rPr>
          <w:color w:val="000000"/>
        </w:rPr>
        <w:t xml:space="preserve"> &gt; Р</w:t>
      </w:r>
      <w:r>
        <w:rPr>
          <w:color w:val="000000"/>
          <w:lang w:val="en-US"/>
        </w:rPr>
        <w:t>II</w:t>
      </w:r>
    </w:p>
    <w:p>
      <w:pPr>
        <w:pStyle w:val="Normal"/>
        <w:shd w:val="clear" w:color="auto" w:fill="FFFFFF"/>
        <w:ind w:left="567" w:hanging="0"/>
        <w:jc w:val="both"/>
        <w:rPr>
          <w:color w:val="000000"/>
          <w:spacing w:val="16"/>
        </w:rPr>
      </w:pPr>
      <w:r>
        <w:rPr>
          <w:color w:val="000000"/>
          <w:spacing w:val="16"/>
        </w:rPr>
        <w:t>б) Р</w:t>
      </w:r>
      <w:r>
        <w:rPr>
          <w:color w:val="000000"/>
          <w:spacing w:val="16"/>
          <w:lang w:val="en-US"/>
        </w:rPr>
        <w:t>II</w:t>
      </w:r>
      <w:r>
        <w:rPr>
          <w:color w:val="000000"/>
          <w:spacing w:val="16"/>
        </w:rPr>
        <w:t>&gt;Р</w:t>
      </w:r>
      <w:r>
        <w:rPr>
          <w:color w:val="000000"/>
          <w:spacing w:val="16"/>
          <w:lang w:val="en-US"/>
        </w:rPr>
        <w:t>I</w:t>
      </w:r>
      <w:r>
        <w:rPr>
          <w:color w:val="000000"/>
          <w:spacing w:val="16"/>
        </w:rPr>
        <w:t>&gt;Р</w:t>
      </w:r>
      <w:r>
        <w:rPr>
          <w:color w:val="000000"/>
          <w:spacing w:val="16"/>
          <w:lang w:val="en-US"/>
        </w:rPr>
        <w:t>III</w:t>
      </w:r>
      <w:r>
        <w:rPr>
          <w:color w:val="000000"/>
          <w:spacing w:val="16"/>
        </w:rPr>
        <w:t xml:space="preserve"> </w:t>
      </w:r>
    </w:p>
    <w:p>
      <w:pPr>
        <w:pStyle w:val="Normal"/>
        <w:shd w:val="clear" w:color="auto" w:fill="FFFFFF"/>
        <w:ind w:left="567" w:hanging="0"/>
        <w:jc w:val="both"/>
        <w:rPr>
          <w:color w:val="000000"/>
          <w:spacing w:val="18"/>
        </w:rPr>
      </w:pPr>
      <w:r>
        <w:rPr>
          <w:color w:val="000000"/>
          <w:spacing w:val="18"/>
        </w:rPr>
        <w:t>в) Р</w:t>
      </w:r>
      <w:r>
        <w:rPr>
          <w:color w:val="000000"/>
          <w:spacing w:val="18"/>
          <w:lang w:val="en-US"/>
        </w:rPr>
        <w:t>III</w:t>
      </w:r>
      <w:r>
        <w:rPr>
          <w:color w:val="000000"/>
          <w:spacing w:val="18"/>
        </w:rPr>
        <w:t>&gt;Р</w:t>
      </w:r>
      <w:r>
        <w:rPr>
          <w:color w:val="000000"/>
          <w:spacing w:val="18"/>
          <w:lang w:val="en-US"/>
        </w:rPr>
        <w:t>II</w:t>
      </w:r>
      <w:r>
        <w:rPr>
          <w:color w:val="000000"/>
          <w:spacing w:val="18"/>
        </w:rPr>
        <w:t>&gt;Р</w:t>
      </w:r>
      <w:r>
        <w:rPr>
          <w:color w:val="000000"/>
          <w:spacing w:val="18"/>
          <w:lang w:val="en-US"/>
        </w:rPr>
        <w:t>I</w:t>
      </w:r>
      <w:r>
        <w:rPr>
          <w:color w:val="000000"/>
          <w:spacing w:val="18"/>
        </w:rPr>
        <w:t xml:space="preserve"> 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</w:rPr>
        <w:t xml:space="preserve">г)  </w:t>
      </w:r>
      <w:r>
        <w:rPr>
          <w:color w:val="000000"/>
          <w:lang w:val="en-US"/>
        </w:rPr>
        <w:t>PI</w:t>
      </w:r>
      <w:r>
        <w:rPr>
          <w:color w:val="000000"/>
        </w:rPr>
        <w:t xml:space="preserve"> &gt; Р</w:t>
      </w:r>
      <w:r>
        <w:rPr>
          <w:color w:val="000000"/>
          <w:lang w:val="en-US"/>
        </w:rPr>
        <w:t>II</w:t>
      </w:r>
      <w:r>
        <w:rPr>
          <w:color w:val="000000"/>
        </w:rPr>
        <w:t xml:space="preserve"> &gt; Р</w:t>
      </w:r>
      <w:r>
        <w:rPr>
          <w:color w:val="000000"/>
          <w:lang w:val="en-US"/>
        </w:rPr>
        <w:t>III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370" w:leader="none"/>
        </w:tabs>
        <w:spacing w:before="221" w:after="0"/>
        <w:jc w:val="both"/>
        <w:rPr/>
      </w:pPr>
      <w:r>
        <w:rPr>
          <w:color w:val="000000"/>
          <w:spacing w:val="1"/>
        </w:rPr>
        <w:t>Амплитуда зубца "Р" при нормальной конституции обычно наибольшая: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а)</w:t>
      </w:r>
      <w:r>
        <w:rPr>
          <w:color w:val="000000"/>
        </w:rPr>
        <w:tab/>
        <w:t xml:space="preserve">во </w:t>
      </w:r>
      <w:r>
        <w:rPr>
          <w:color w:val="000000"/>
          <w:lang w:val="en-US"/>
        </w:rPr>
        <w:t>II</w:t>
      </w:r>
      <w:r>
        <w:rPr>
          <w:color w:val="000000"/>
        </w:rPr>
        <w:t xml:space="preserve"> стандартном отведении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б)</w:t>
      </w:r>
      <w:r>
        <w:rPr>
          <w:color w:val="000000"/>
        </w:rPr>
        <w:t xml:space="preserve">в отведении </w:t>
      </w:r>
      <w:r>
        <w:rPr>
          <w:color w:val="000000"/>
          <w:lang w:val="en-US"/>
        </w:rPr>
        <w:t>aVF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8"/>
        </w:rPr>
        <w:t>в)</w:t>
      </w:r>
      <w:r>
        <w:rPr>
          <w:color w:val="000000"/>
        </w:rPr>
        <w:tab/>
        <w:t xml:space="preserve">в </w:t>
      </w:r>
      <w:r>
        <w:rPr>
          <w:color w:val="000000"/>
          <w:lang w:val="en-US"/>
        </w:rPr>
        <w:t>III</w:t>
      </w:r>
      <w:r>
        <w:rPr>
          <w:color w:val="000000"/>
        </w:rPr>
        <w:t xml:space="preserve"> стандартном отведении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9"/>
        </w:rPr>
        <w:t>г)</w:t>
      </w:r>
      <w:r>
        <w:rPr>
          <w:color w:val="000000"/>
        </w:rPr>
        <w:tab/>
        <w:t xml:space="preserve">в отведении </w:t>
      </w:r>
      <w:r>
        <w:rPr>
          <w:color w:val="000000"/>
          <w:lang w:val="en-US"/>
        </w:rPr>
        <w:t>aVL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370" w:leader="none"/>
        </w:tabs>
        <w:spacing w:before="221" w:after="0"/>
        <w:jc w:val="both"/>
        <w:rPr/>
      </w:pPr>
      <w:r>
        <w:rPr>
          <w:color w:val="000000"/>
          <w:spacing w:val="1"/>
        </w:rPr>
        <w:t>Амплитуда зубца "Р" в норме не должна превышать: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9"/>
        </w:rPr>
        <w:t>а)</w:t>
      </w:r>
      <w:r>
        <w:rPr>
          <w:color w:val="000000"/>
        </w:rPr>
        <w:tab/>
        <w:t>3,0 мм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8"/>
        </w:rPr>
        <w:t>б)</w:t>
      </w:r>
      <w:r>
        <w:rPr>
          <w:color w:val="000000"/>
        </w:rPr>
        <w:tab/>
        <w:t>1,2 мм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8"/>
        </w:rPr>
        <w:t>в)</w:t>
      </w:r>
      <w:r>
        <w:rPr>
          <w:color w:val="000000"/>
        </w:rPr>
        <w:tab/>
        <w:t>1,5 мм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г)</w:t>
      </w:r>
      <w:r>
        <w:rPr>
          <w:color w:val="000000"/>
        </w:rPr>
        <w:tab/>
        <w:t>1,0 мм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Практические задания для демонстрации практических навыков</w:t>
      </w:r>
    </w:p>
    <w:p>
      <w:pPr>
        <w:pStyle w:val="ListParagraph"/>
        <w:ind w:left="1069" w:hanging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1.Чтение пленок ЭКГ у детей различного возраста</w:t>
      </w:r>
    </w:p>
    <w:p>
      <w:pPr>
        <w:pStyle w:val="Normal"/>
        <w:ind w:left="709" w:hanging="0"/>
        <w:jc w:val="both"/>
        <w:rPr>
          <w:color w:val="000000"/>
        </w:rPr>
      </w:pPr>
      <w:r>
        <w:rPr>
          <w:color w:val="000000"/>
        </w:rPr>
        <w:t>2.Провести анализ зубцов и интервалы на пленке ЭКГ</w:t>
      </w:r>
    </w:p>
    <w:p>
      <w:pPr>
        <w:pStyle w:val="ListParagraph"/>
        <w:ind w:left="1069" w:hanging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3.выделить жизнеугрожаемые изменения при чтении ЭКГ 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i/>
          <w:i/>
          <w:color w:val="000000"/>
        </w:rPr>
      </w:pPr>
      <w:r>
        <w:rPr>
          <w:b/>
          <w:color w:val="000000"/>
        </w:rPr>
        <w:t>Тема №</w:t>
      </w:r>
      <w:r>
        <w:rPr>
          <w:b/>
          <w:color w:val="000000"/>
        </w:rPr>
        <w:fldChar w:fldCharType="begin"/>
      </w:r>
      <w:r>
        <w:rPr>
          <w:b/>
          <w:color w:val="000000"/>
        </w:rPr>
        <w:instrText> SEQ AutoNr \* ARABIC </w:instrText>
      </w:r>
      <w:r>
        <w:rPr>
          <w:b/>
          <w:color w:val="000000"/>
        </w:rPr>
        <w:fldChar w:fldCharType="separate"/>
      </w:r>
      <w:r>
        <w:rPr>
          <w:b/>
          <w:color w:val="000000"/>
        </w:rPr>
        <w:t>3</w:t>
      </w:r>
      <w:r>
        <w:rPr>
          <w:b/>
          <w:color w:val="000000"/>
        </w:rPr>
        <w:fldChar w:fldCharType="end"/>
      </w:r>
      <w:r>
        <w:rPr>
          <w:color w:val="000000"/>
          <w:u w:val="single"/>
        </w:rPr>
        <w:t xml:space="preserve"> </w:t>
      </w:r>
      <w:r>
        <w:rPr>
          <w:b/>
        </w:rPr>
        <w:t>«Возрастные особенности ЭКГ».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b/>
          <w:color w:val="000000"/>
        </w:rPr>
        <w:t>Формы текущего контроля</w:t>
      </w:r>
      <w:r>
        <w:rPr>
          <w:color w:val="000000"/>
        </w:rPr>
        <w:t xml:space="preserve"> </w:t>
      </w:r>
      <w:r>
        <w:rPr>
          <w:b/>
          <w:color w:val="000000"/>
        </w:rPr>
        <w:t>успеваемости</w:t>
      </w:r>
      <w:r>
        <w:rPr>
          <w:i/>
          <w:color w:val="000000"/>
        </w:rPr>
        <w:t xml:space="preserve">: </w:t>
      </w:r>
      <w:r>
        <w:rPr>
          <w:color w:val="000000"/>
        </w:rPr>
        <w:t>решение проблемно–ситуационных задач; устный опрос; тестирование; проверка практических навыков</w:t>
      </w:r>
    </w:p>
    <w:p>
      <w:pPr>
        <w:pStyle w:val="Normal"/>
        <w:ind w:firstLine="709"/>
        <w:jc w:val="both"/>
        <w:rPr>
          <w:i/>
          <w:i/>
          <w:color w:val="000000"/>
        </w:rPr>
      </w:pPr>
      <w:r>
        <w:rPr>
          <w:b/>
          <w:color w:val="000000"/>
        </w:rPr>
        <w:t>Оценочные материалы текущего контроля успеваемости</w:t>
      </w:r>
      <w:r>
        <w:rPr>
          <w:i/>
          <w:color w:val="000000"/>
        </w:rPr>
        <w:t xml:space="preserve"> 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Вопросы для устного опроса</w:t>
      </w:r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/>
      </w:pPr>
      <w:r>
        <w:rPr/>
        <w:t>Особенности ЭКГ у недоношенных</w:t>
      </w:r>
    </w:p>
    <w:p>
      <w:pPr>
        <w:pStyle w:val="Normal"/>
        <w:jc w:val="both"/>
        <w:rPr/>
      </w:pPr>
      <w:r>
        <w:rPr/>
        <w:t>Особенности ЭКГ новорожденного</w:t>
      </w:r>
    </w:p>
    <w:p>
      <w:pPr>
        <w:pStyle w:val="Normal"/>
        <w:jc w:val="both"/>
        <w:rPr/>
      </w:pPr>
      <w:r>
        <w:rPr/>
        <w:t>Особенности ЭКГ у детей раннего возраста</w:t>
      </w:r>
    </w:p>
    <w:p>
      <w:pPr>
        <w:pStyle w:val="Normal"/>
        <w:jc w:val="both"/>
        <w:rPr/>
      </w:pPr>
      <w:r>
        <w:rPr/>
        <w:t>Особенности ЭКГ у детей школьного возраста</w:t>
      </w:r>
    </w:p>
    <w:p>
      <w:pPr>
        <w:pStyle w:val="Normal"/>
        <w:jc w:val="both"/>
        <w:rPr/>
      </w:pPr>
      <w:r>
        <w:rPr/>
        <w:t>Функциональные изменения ЭКГ у детей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Тексты ситуационных задач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jc w:val="both"/>
        <w:rPr>
          <w:b/>
          <w:b/>
          <w:i/>
          <w:i/>
          <w:color w:val="000000"/>
        </w:rPr>
      </w:pPr>
      <w:r>
        <w:rPr/>
        <w:drawing>
          <wp:inline distT="0" distB="0" distL="0" distR="0">
            <wp:extent cx="4572000" cy="2298700"/>
            <wp:effectExtent l="0" t="0" r="0" b="0"/>
            <wp:docPr id="5" name="Рисунок 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21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0" t="32962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Ребенку 1 день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8"/>
        </w:numPr>
        <w:jc w:val="both"/>
        <w:rPr>
          <w:color w:val="000000"/>
        </w:rPr>
      </w:pPr>
      <w:r>
        <w:rPr>
          <w:color w:val="000000"/>
        </w:rPr>
        <w:t>Напишите ЭКГ заключение.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 xml:space="preserve">Эталон ответа . </w:t>
      </w:r>
    </w:p>
    <w:p>
      <w:pPr>
        <w:pStyle w:val="Normal"/>
        <w:jc w:val="both"/>
        <w:rPr>
          <w:color w:val="000000"/>
        </w:rPr>
      </w:pPr>
      <w:r>
        <w:rPr>
          <w:color w:val="000000"/>
        </w:rPr>
        <w:t>ЭОС отклонена право. Ритм синусовый, ЧСС 130 в 1мин.</w:t>
      </w:r>
    </w:p>
    <w:p>
      <w:pPr>
        <w:pStyle w:val="Normal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jc w:val="both"/>
        <w:rPr>
          <w:color w:val="000000"/>
        </w:rPr>
      </w:pPr>
      <w:r>
        <w:rPr/>
        <w:drawing>
          <wp:inline distT="0" distB="0" distL="0" distR="0">
            <wp:extent cx="4572000" cy="2603500"/>
            <wp:effectExtent l="0" t="0" r="0" b="0"/>
            <wp:docPr id="6" name="Рисунок 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22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0" t="24071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Ребенку 1 мес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9"/>
        </w:numPr>
        <w:jc w:val="both"/>
        <w:rPr>
          <w:color w:val="000000"/>
        </w:rPr>
      </w:pPr>
      <w:r>
        <w:rPr>
          <w:color w:val="000000"/>
        </w:rPr>
        <w:t>Напишите ЭКГ заключение.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 xml:space="preserve">Эталон ответа . </w:t>
      </w:r>
    </w:p>
    <w:p>
      <w:pPr>
        <w:pStyle w:val="Normal"/>
        <w:jc w:val="both"/>
        <w:rPr>
          <w:color w:val="000000"/>
        </w:rPr>
      </w:pPr>
      <w:r>
        <w:rPr>
          <w:color w:val="000000"/>
        </w:rPr>
        <w:t>Нормальное положение ЭОС. Ритм синусовый, ЧСС 75 в 1мин.</w:t>
      </w:r>
    </w:p>
    <w:p>
      <w:pPr>
        <w:pStyle w:val="Normal"/>
        <w:jc w:val="both"/>
        <w:rPr>
          <w:b/>
          <w:b/>
          <w:color w:val="000000"/>
        </w:rPr>
      </w:pPr>
      <w:r>
        <w:rPr/>
        <w:drawing>
          <wp:inline distT="0" distB="0" distL="0" distR="0">
            <wp:extent cx="5940425" cy="3034030"/>
            <wp:effectExtent l="0" t="0" r="0" b="0"/>
            <wp:docPr id="7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6"/>
        </w:numPr>
        <w:jc w:val="both"/>
        <w:rPr>
          <w:color w:val="000000"/>
        </w:rPr>
      </w:pPr>
      <w:r>
        <w:rPr>
          <w:color w:val="000000"/>
        </w:rPr>
        <w:t>Определите электрическую ось сердца.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 xml:space="preserve">Эталон ответа . </w:t>
      </w:r>
    </w:p>
    <w:p>
      <w:pPr>
        <w:pStyle w:val="Normal"/>
        <w:jc w:val="both"/>
        <w:rPr>
          <w:b/>
          <w:b/>
          <w:i/>
          <w:i/>
          <w:color w:val="000000"/>
        </w:rPr>
      </w:pPr>
      <w:r>
        <w:rPr>
          <w:color w:val="000000"/>
        </w:rPr>
        <w:t>ЭОС отклонена вправо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Тестовые задания</w:t>
      </w:r>
    </w:p>
    <w:p>
      <w:pPr>
        <w:pStyle w:val="Normal"/>
        <w:shd w:val="clear" w:color="auto" w:fill="FFFFFF"/>
        <w:tabs>
          <w:tab w:val="clear" w:pos="708"/>
          <w:tab w:val="left" w:pos="446" w:leader="none"/>
        </w:tabs>
        <w:spacing w:before="221" w:after="0"/>
        <w:jc w:val="both"/>
        <w:rPr/>
      </w:pPr>
      <w:r>
        <w:rPr>
          <w:color w:val="000000"/>
        </w:rPr>
        <w:t xml:space="preserve">Продолжительность интервала </w:t>
      </w:r>
      <w:r>
        <w:rPr>
          <w:color w:val="000000"/>
          <w:lang w:val="en-US"/>
        </w:rPr>
        <w:t>QT</w:t>
      </w:r>
      <w:r>
        <w:rPr>
          <w:color w:val="000000"/>
        </w:rPr>
        <w:t xml:space="preserve"> зависит в норме от: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7"/>
        </w:rPr>
        <w:t>а)</w:t>
      </w:r>
      <w:r>
        <w:rPr>
          <w:color w:val="000000"/>
        </w:rPr>
        <w:tab/>
        <w:t xml:space="preserve"> </w:t>
      </w:r>
      <w:r>
        <w:rPr>
          <w:color w:val="000000"/>
          <w:spacing w:val="-1"/>
        </w:rPr>
        <w:t>возраста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8"/>
        </w:rPr>
        <w:t>б)</w:t>
      </w:r>
      <w:r>
        <w:rPr>
          <w:color w:val="000000"/>
        </w:rPr>
        <w:tab/>
        <w:t xml:space="preserve"> частоты сердечных сокращений+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11"/>
        </w:rPr>
        <w:t>в)</w:t>
      </w:r>
      <w:r>
        <w:rPr>
          <w:color w:val="000000"/>
        </w:rPr>
        <w:tab/>
        <w:t xml:space="preserve"> </w:t>
      </w:r>
      <w:r>
        <w:rPr>
          <w:color w:val="000000"/>
          <w:spacing w:val="-4"/>
        </w:rPr>
        <w:t>пола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9"/>
        </w:rPr>
        <w:t>г)</w:t>
      </w:r>
      <w:r>
        <w:rPr>
          <w:color w:val="000000"/>
        </w:rPr>
        <w:tab/>
        <w:t xml:space="preserve"> </w:t>
      </w:r>
      <w:r>
        <w:rPr>
          <w:color w:val="000000"/>
          <w:spacing w:val="-2"/>
        </w:rPr>
        <w:t>роста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451" w:leader="none"/>
        </w:tabs>
        <w:spacing w:before="226" w:after="0"/>
        <w:jc w:val="both"/>
        <w:rPr/>
      </w:pPr>
      <w:r>
        <w:rPr>
          <w:color w:val="000000"/>
        </w:rPr>
        <w:t xml:space="preserve">Ширина комплекса </w:t>
      </w:r>
      <w:r>
        <w:rPr>
          <w:color w:val="000000"/>
          <w:lang w:val="en-US"/>
        </w:rPr>
        <w:t>QRS</w:t>
      </w:r>
      <w:r>
        <w:rPr>
          <w:color w:val="000000"/>
        </w:rPr>
        <w:t xml:space="preserve"> у подростков в норме: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а)</w:t>
      </w:r>
      <w:r>
        <w:rPr>
          <w:color w:val="000000"/>
        </w:rPr>
        <w:t>0,06-0,04 (до 0,10 сек.)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б)</w:t>
      </w:r>
      <w:r>
        <w:rPr>
          <w:color w:val="000000"/>
        </w:rPr>
        <w:t>0,02-0,05 (до 0,08 сек.)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в)</w:t>
      </w:r>
      <w:r>
        <w:rPr>
          <w:color w:val="000000"/>
        </w:rPr>
        <w:t>0,06-0,10 (до 0,12 сек.)+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9"/>
        </w:rPr>
        <w:t>г)</w:t>
      </w:r>
      <w:r>
        <w:rPr>
          <w:color w:val="000000"/>
        </w:rPr>
        <w:t>0,08-0,12 (до 0,14 сек.)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451" w:leader="none"/>
        </w:tabs>
        <w:spacing w:before="226" w:after="0"/>
        <w:jc w:val="both"/>
        <w:rPr/>
      </w:pPr>
      <w:r>
        <w:rPr>
          <w:color w:val="000000"/>
        </w:rPr>
        <w:t xml:space="preserve">Ширина комплекса </w:t>
      </w:r>
      <w:r>
        <w:rPr>
          <w:color w:val="000000"/>
          <w:lang w:val="en-US"/>
        </w:rPr>
        <w:t>QRS</w:t>
      </w:r>
      <w:r>
        <w:rPr>
          <w:color w:val="000000"/>
        </w:rPr>
        <w:t xml:space="preserve"> у новорожденных в норме: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а)</w:t>
      </w:r>
      <w:r>
        <w:rPr>
          <w:color w:val="000000"/>
        </w:rPr>
        <w:t>0,06-0,04 (до 0,10 сек.)+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б)</w:t>
      </w:r>
      <w:r>
        <w:rPr>
          <w:color w:val="000000"/>
        </w:rPr>
        <w:t>0,02-0,05 (до 0,08 сек.)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в)</w:t>
      </w:r>
      <w:r>
        <w:rPr>
          <w:color w:val="000000"/>
        </w:rPr>
        <w:t>0,06-0,10 (до 0,12 сек.)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9"/>
        </w:rPr>
        <w:t>г)</w:t>
      </w:r>
      <w:r>
        <w:rPr>
          <w:color w:val="000000"/>
        </w:rPr>
        <w:t>0,08-0,12 (до 0,14 сек.)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370" w:leader="none"/>
        </w:tabs>
        <w:spacing w:before="226" w:after="0"/>
        <w:jc w:val="both"/>
        <w:rPr/>
      </w:pPr>
      <w:r>
        <w:rPr>
          <w:color w:val="000000"/>
        </w:rPr>
        <w:t xml:space="preserve">На продолжительность интервала </w:t>
      </w:r>
      <w:r>
        <w:rPr>
          <w:color w:val="000000"/>
          <w:lang w:val="en-US"/>
        </w:rPr>
        <w:t>PQ</w:t>
      </w:r>
      <w:r>
        <w:rPr>
          <w:color w:val="000000"/>
        </w:rPr>
        <w:t xml:space="preserve"> влияет:</w:t>
      </w:r>
    </w:p>
    <w:p>
      <w:pPr>
        <w:pStyle w:val="Normal"/>
        <w:shd w:val="clear" w:color="auto" w:fill="FFFFFF"/>
        <w:tabs>
          <w:tab w:val="clear" w:pos="708"/>
          <w:tab w:val="left" w:pos="226" w:leader="none"/>
        </w:tabs>
        <w:ind w:left="567" w:hanging="0"/>
        <w:jc w:val="both"/>
        <w:rPr/>
      </w:pPr>
      <w:r>
        <w:rPr>
          <w:color w:val="000000"/>
          <w:spacing w:val="-7"/>
        </w:rPr>
        <w:t>а)</w:t>
      </w:r>
      <w:r>
        <w:rPr>
          <w:color w:val="000000"/>
        </w:rPr>
        <w:tab/>
        <w:t>возраст +</w:t>
      </w:r>
    </w:p>
    <w:p>
      <w:pPr>
        <w:pStyle w:val="Normal"/>
        <w:shd w:val="clear" w:color="auto" w:fill="FFFFFF"/>
        <w:tabs>
          <w:tab w:val="clear" w:pos="708"/>
          <w:tab w:val="left" w:pos="226" w:leader="none"/>
        </w:tabs>
        <w:ind w:left="567" w:hanging="0"/>
        <w:jc w:val="both"/>
        <w:rPr/>
      </w:pPr>
      <w:r>
        <w:rPr>
          <w:color w:val="000000"/>
          <w:spacing w:val="-8"/>
        </w:rPr>
        <w:t>б)</w:t>
      </w:r>
      <w:r>
        <w:rPr>
          <w:color w:val="000000"/>
        </w:rPr>
        <w:tab/>
        <w:t>частота ритма+</w:t>
      </w:r>
    </w:p>
    <w:p>
      <w:pPr>
        <w:pStyle w:val="Normal"/>
        <w:shd w:val="clear" w:color="auto" w:fill="FFFFFF"/>
        <w:tabs>
          <w:tab w:val="clear" w:pos="708"/>
          <w:tab w:val="left" w:pos="226" w:leader="none"/>
          <w:tab w:val="left" w:pos="2074" w:leader="none"/>
          <w:tab w:val="left" w:pos="3744" w:leader="none"/>
        </w:tabs>
        <w:ind w:left="567" w:hanging="0"/>
        <w:jc w:val="both"/>
        <w:rPr/>
      </w:pPr>
      <w:r>
        <w:rPr>
          <w:color w:val="000000"/>
          <w:spacing w:val="-8"/>
        </w:rPr>
        <w:t>в)</w:t>
      </w:r>
      <w:r>
        <w:rPr>
          <w:color w:val="000000"/>
          <w:spacing w:val="-2"/>
        </w:rPr>
        <w:t>масса тела</w:t>
      </w:r>
    </w:p>
    <w:p>
      <w:pPr>
        <w:pStyle w:val="Normal"/>
        <w:shd w:val="clear" w:color="auto" w:fill="FFFFFF"/>
        <w:tabs>
          <w:tab w:val="clear" w:pos="708"/>
          <w:tab w:val="left" w:pos="226" w:leader="none"/>
        </w:tabs>
        <w:ind w:left="567" w:hanging="0"/>
        <w:jc w:val="both"/>
        <w:rPr/>
      </w:pPr>
      <w:r>
        <w:rPr>
          <w:color w:val="000000"/>
          <w:spacing w:val="-9"/>
        </w:rPr>
        <w:t>г)</w:t>
      </w:r>
      <w:r>
        <w:rPr>
          <w:color w:val="000000"/>
        </w:rPr>
        <w:tab/>
      </w:r>
      <w:r>
        <w:rPr>
          <w:color w:val="000000"/>
          <w:spacing w:val="3"/>
        </w:rPr>
        <w:t>рост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370" w:leader="none"/>
        </w:tabs>
        <w:spacing w:before="312" w:after="0"/>
        <w:jc w:val="both"/>
        <w:rPr/>
      </w:pPr>
      <w:r>
        <w:rPr>
          <w:color w:val="000000"/>
        </w:rPr>
        <w:t xml:space="preserve">Зубцы </w:t>
      </w:r>
      <w:r>
        <w:rPr>
          <w:color w:val="000000"/>
          <w:lang w:val="en-US"/>
        </w:rPr>
        <w:t>PV</w:t>
      </w:r>
      <w:r>
        <w:rPr>
          <w:color w:val="000000"/>
        </w:rPr>
        <w:t xml:space="preserve">5, </w:t>
      </w:r>
      <w:r>
        <w:rPr>
          <w:color w:val="000000"/>
          <w:lang w:val="en-US"/>
        </w:rPr>
        <w:t>PV</w:t>
      </w:r>
      <w:r>
        <w:rPr>
          <w:color w:val="000000"/>
        </w:rPr>
        <w:t>6 обычно в норме: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7"/>
        </w:rPr>
        <w:t>а)</w:t>
      </w:r>
      <w:r>
        <w:rPr>
          <w:color w:val="000000"/>
        </w:rPr>
        <w:tab/>
      </w:r>
      <w:r>
        <w:rPr>
          <w:color w:val="000000"/>
          <w:spacing w:val="-1"/>
        </w:rPr>
        <w:t>положительные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б)</w:t>
      </w:r>
      <w:r>
        <w:rPr>
          <w:color w:val="000000"/>
          <w:spacing w:val="-1"/>
        </w:rPr>
        <w:t>отрицательные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9"/>
        </w:rPr>
        <w:t>в)</w:t>
      </w:r>
      <w:r>
        <w:rPr>
          <w:color w:val="000000"/>
        </w:rPr>
        <w:tab/>
        <w:t>низкоамплитудные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9"/>
        </w:rPr>
        <w:t>г)</w:t>
      </w:r>
      <w:r>
        <w:rPr>
          <w:color w:val="000000"/>
        </w:rPr>
        <w:tab/>
        <w:t>высокоамплитудные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370" w:leader="none"/>
        </w:tabs>
        <w:spacing w:before="226" w:after="0"/>
        <w:jc w:val="both"/>
        <w:rPr/>
      </w:pPr>
      <w:r>
        <w:rPr>
          <w:color w:val="000000"/>
        </w:rPr>
        <w:t xml:space="preserve">Первая фаза зубца </w:t>
      </w:r>
      <w:r>
        <w:rPr>
          <w:color w:val="000000"/>
          <w:lang w:val="en-US"/>
        </w:rPr>
        <w:t>PVl</w:t>
      </w:r>
      <w:r>
        <w:rPr>
          <w:color w:val="000000"/>
        </w:rPr>
        <w:t xml:space="preserve"> имеет: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7"/>
        </w:rPr>
        <w:t>а)</w:t>
      </w:r>
      <w:r>
        <w:rPr>
          <w:color w:val="000000"/>
        </w:rPr>
        <w:t>положительное направление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б)</w:t>
      </w:r>
      <w:r>
        <w:rPr>
          <w:color w:val="000000"/>
          <w:spacing w:val="1"/>
        </w:rPr>
        <w:t>отрицательное направление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8"/>
        </w:rPr>
        <w:t>в)</w:t>
      </w:r>
      <w:r>
        <w:rPr>
          <w:color w:val="000000"/>
          <w:spacing w:val="1"/>
        </w:rPr>
        <w:t>неопределенное направление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12"/>
        </w:rPr>
        <w:t>г)</w:t>
      </w:r>
      <w:r>
        <w:rPr>
          <w:color w:val="000000"/>
          <w:spacing w:val="1"/>
        </w:rPr>
        <w:t>двухкомпонентную структуру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370" w:leader="none"/>
        </w:tabs>
        <w:spacing w:before="226" w:after="0"/>
        <w:ind w:left="567" w:hanging="567"/>
        <w:jc w:val="both"/>
        <w:rPr/>
      </w:pPr>
      <w:r>
        <w:rPr>
          <w:color w:val="000000"/>
        </w:rPr>
        <w:t>Наиболее частое в норме соотношение зубцов "Р" в стандартных отведениях следующее:</w:t>
        <w:br/>
      </w:r>
      <w:r>
        <w:rPr>
          <w:color w:val="000000"/>
          <w:lang w:val="en-US"/>
        </w:rPr>
        <w:t>a</w:t>
      </w:r>
      <w:r>
        <w:rPr>
          <w:color w:val="000000"/>
        </w:rPr>
        <w:t xml:space="preserve">) </w:t>
      </w:r>
      <w:r>
        <w:rPr>
          <w:color w:val="000000"/>
          <w:lang w:val="en-US"/>
        </w:rPr>
        <w:t>PI</w:t>
      </w:r>
      <w:r>
        <w:rPr>
          <w:color w:val="000000"/>
        </w:rPr>
        <w:t xml:space="preserve"> &gt; Р</w:t>
      </w:r>
      <w:r>
        <w:rPr>
          <w:color w:val="000000"/>
          <w:lang w:val="en-US"/>
        </w:rPr>
        <w:t>III</w:t>
      </w:r>
      <w:r>
        <w:rPr>
          <w:color w:val="000000"/>
        </w:rPr>
        <w:t xml:space="preserve"> &gt; Р</w:t>
      </w:r>
      <w:r>
        <w:rPr>
          <w:color w:val="000000"/>
          <w:lang w:val="en-US"/>
        </w:rPr>
        <w:t>II</w:t>
      </w:r>
    </w:p>
    <w:p>
      <w:pPr>
        <w:pStyle w:val="Normal"/>
        <w:shd w:val="clear" w:color="auto" w:fill="FFFFFF"/>
        <w:ind w:left="567" w:hanging="0"/>
        <w:jc w:val="both"/>
        <w:rPr>
          <w:color w:val="000000"/>
          <w:spacing w:val="16"/>
        </w:rPr>
      </w:pPr>
      <w:r>
        <w:rPr>
          <w:color w:val="000000"/>
          <w:spacing w:val="16"/>
        </w:rPr>
        <w:t>б) Р</w:t>
      </w:r>
      <w:r>
        <w:rPr>
          <w:color w:val="000000"/>
          <w:spacing w:val="16"/>
          <w:lang w:val="en-US"/>
        </w:rPr>
        <w:t>II</w:t>
      </w:r>
      <w:r>
        <w:rPr>
          <w:color w:val="000000"/>
          <w:spacing w:val="16"/>
        </w:rPr>
        <w:t>&gt;Р</w:t>
      </w:r>
      <w:r>
        <w:rPr>
          <w:color w:val="000000"/>
          <w:spacing w:val="16"/>
          <w:lang w:val="en-US"/>
        </w:rPr>
        <w:t>I</w:t>
      </w:r>
      <w:r>
        <w:rPr>
          <w:color w:val="000000"/>
          <w:spacing w:val="16"/>
        </w:rPr>
        <w:t>&gt;Р</w:t>
      </w:r>
      <w:r>
        <w:rPr>
          <w:color w:val="000000"/>
          <w:spacing w:val="16"/>
          <w:lang w:val="en-US"/>
        </w:rPr>
        <w:t>III</w:t>
      </w:r>
      <w:r>
        <w:rPr>
          <w:color w:val="000000"/>
          <w:spacing w:val="16"/>
        </w:rPr>
        <w:t xml:space="preserve"> </w:t>
      </w:r>
    </w:p>
    <w:p>
      <w:pPr>
        <w:pStyle w:val="Normal"/>
        <w:shd w:val="clear" w:color="auto" w:fill="FFFFFF"/>
        <w:ind w:left="567" w:hanging="0"/>
        <w:jc w:val="both"/>
        <w:rPr>
          <w:color w:val="000000"/>
          <w:spacing w:val="18"/>
        </w:rPr>
      </w:pPr>
      <w:r>
        <w:rPr>
          <w:color w:val="000000"/>
          <w:spacing w:val="18"/>
        </w:rPr>
        <w:t>в) Р</w:t>
      </w:r>
      <w:r>
        <w:rPr>
          <w:color w:val="000000"/>
          <w:spacing w:val="18"/>
          <w:lang w:val="en-US"/>
        </w:rPr>
        <w:t>III</w:t>
      </w:r>
      <w:r>
        <w:rPr>
          <w:color w:val="000000"/>
          <w:spacing w:val="18"/>
        </w:rPr>
        <w:t>&gt;Р</w:t>
      </w:r>
      <w:r>
        <w:rPr>
          <w:color w:val="000000"/>
          <w:spacing w:val="18"/>
          <w:lang w:val="en-US"/>
        </w:rPr>
        <w:t>II</w:t>
      </w:r>
      <w:r>
        <w:rPr>
          <w:color w:val="000000"/>
          <w:spacing w:val="18"/>
        </w:rPr>
        <w:t>&gt;Р</w:t>
      </w:r>
      <w:r>
        <w:rPr>
          <w:color w:val="000000"/>
          <w:spacing w:val="18"/>
          <w:lang w:val="en-US"/>
        </w:rPr>
        <w:t>I</w:t>
      </w:r>
      <w:r>
        <w:rPr>
          <w:color w:val="000000"/>
          <w:spacing w:val="18"/>
        </w:rPr>
        <w:t xml:space="preserve"> 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</w:rPr>
        <w:t xml:space="preserve">г)  </w:t>
      </w:r>
      <w:r>
        <w:rPr>
          <w:color w:val="000000"/>
          <w:lang w:val="en-US"/>
        </w:rPr>
        <w:t>PI</w:t>
      </w:r>
      <w:r>
        <w:rPr>
          <w:color w:val="000000"/>
        </w:rPr>
        <w:t xml:space="preserve"> &gt; Р</w:t>
      </w:r>
      <w:r>
        <w:rPr>
          <w:color w:val="000000"/>
          <w:lang w:val="en-US"/>
        </w:rPr>
        <w:t>II</w:t>
      </w:r>
      <w:r>
        <w:rPr>
          <w:color w:val="000000"/>
        </w:rPr>
        <w:t xml:space="preserve"> &gt; Р</w:t>
      </w:r>
      <w:r>
        <w:rPr>
          <w:color w:val="000000"/>
          <w:lang w:val="en-US"/>
        </w:rPr>
        <w:t>III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370" w:leader="none"/>
        </w:tabs>
        <w:spacing w:before="221" w:after="0"/>
        <w:jc w:val="both"/>
        <w:rPr/>
      </w:pPr>
      <w:r>
        <w:rPr>
          <w:color w:val="000000"/>
          <w:spacing w:val="1"/>
        </w:rPr>
        <w:t>Амплитуда зубца "Р" при нормальной конституции обычно наибольшая: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 xml:space="preserve">а) </w:t>
      </w:r>
      <w:r>
        <w:rPr>
          <w:color w:val="000000"/>
        </w:rPr>
        <w:t xml:space="preserve">во </w:t>
      </w:r>
      <w:r>
        <w:rPr>
          <w:color w:val="000000"/>
          <w:lang w:val="en-US"/>
        </w:rPr>
        <w:t>II</w:t>
      </w:r>
      <w:r>
        <w:rPr>
          <w:color w:val="000000"/>
        </w:rPr>
        <w:t xml:space="preserve"> стандартном отведении+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 xml:space="preserve">б) </w:t>
      </w:r>
      <w:r>
        <w:rPr>
          <w:color w:val="000000"/>
        </w:rPr>
        <w:t xml:space="preserve">в отведении </w:t>
      </w:r>
      <w:r>
        <w:rPr>
          <w:color w:val="000000"/>
          <w:lang w:val="en-US"/>
        </w:rPr>
        <w:t>aVF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8"/>
        </w:rPr>
        <w:t xml:space="preserve">в) </w:t>
      </w:r>
      <w:r>
        <w:rPr>
          <w:color w:val="000000"/>
        </w:rPr>
        <w:t xml:space="preserve">в </w:t>
      </w:r>
      <w:r>
        <w:rPr>
          <w:color w:val="000000"/>
          <w:lang w:val="en-US"/>
        </w:rPr>
        <w:t>III</w:t>
      </w:r>
      <w:r>
        <w:rPr>
          <w:color w:val="000000"/>
        </w:rPr>
        <w:t xml:space="preserve"> стандартном отведении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9"/>
        </w:rPr>
        <w:t xml:space="preserve">г) </w:t>
      </w:r>
      <w:r>
        <w:rPr>
          <w:color w:val="000000"/>
        </w:rPr>
        <w:t xml:space="preserve">в отведении </w:t>
      </w:r>
      <w:r>
        <w:rPr>
          <w:color w:val="000000"/>
          <w:lang w:val="en-US"/>
        </w:rPr>
        <w:t>aVL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hd w:val="clear" w:color="auto" w:fill="FFFFFF"/>
        <w:tabs>
          <w:tab w:val="clear" w:pos="708"/>
          <w:tab w:val="left" w:pos="370" w:leader="none"/>
        </w:tabs>
        <w:spacing w:before="221" w:after="0"/>
        <w:jc w:val="both"/>
        <w:rPr/>
      </w:pPr>
      <w:r>
        <w:rPr>
          <w:color w:val="000000"/>
          <w:spacing w:val="1"/>
        </w:rPr>
        <w:t>Амплитуда зубца "Р" в норме не должна превышать: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9"/>
        </w:rPr>
        <w:t>а)</w:t>
      </w:r>
      <w:r>
        <w:rPr>
          <w:color w:val="000000"/>
        </w:rPr>
        <w:tab/>
        <w:t>3,0 мм+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8"/>
        </w:rPr>
        <w:t>б)</w:t>
      </w:r>
      <w:r>
        <w:rPr>
          <w:color w:val="000000"/>
        </w:rPr>
        <w:tab/>
        <w:t>1,2 мм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8"/>
        </w:rPr>
        <w:t>в)</w:t>
      </w:r>
      <w:r>
        <w:rPr>
          <w:color w:val="000000"/>
        </w:rPr>
        <w:tab/>
        <w:t>1,5 мм</w:t>
      </w:r>
    </w:p>
    <w:p>
      <w:pPr>
        <w:pStyle w:val="Normal"/>
        <w:shd w:val="clear" w:color="auto" w:fill="FFFFFF"/>
        <w:ind w:left="567" w:hanging="0"/>
        <w:jc w:val="both"/>
        <w:rPr/>
      </w:pPr>
      <w:r>
        <w:rPr>
          <w:color w:val="000000"/>
          <w:spacing w:val="-6"/>
        </w:rPr>
        <w:t>г)</w:t>
      </w:r>
      <w:r>
        <w:rPr>
          <w:color w:val="000000"/>
        </w:rPr>
        <w:tab/>
        <w:t>1,0 мм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Практические задания для демонстрации практических навыков</w:t>
      </w:r>
    </w:p>
    <w:p>
      <w:pPr>
        <w:pStyle w:val="ListParagraph"/>
        <w:numPr>
          <w:ilvl w:val="0"/>
          <w:numId w:val="5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Чтение пленок ЭКГ у детей различного возраста</w:t>
      </w:r>
    </w:p>
    <w:p>
      <w:pPr>
        <w:pStyle w:val="ListParagraph"/>
        <w:numPr>
          <w:ilvl w:val="0"/>
          <w:numId w:val="5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Провести анализ зубцов и интервалы на пленке ЭКГ у новорожденного</w:t>
      </w:r>
    </w:p>
    <w:p>
      <w:pPr>
        <w:pStyle w:val="ListParagraph"/>
        <w:numPr>
          <w:ilvl w:val="0"/>
          <w:numId w:val="5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Нормативные показатели ЭКГ у детей раннего возраста</w:t>
      </w:r>
    </w:p>
    <w:p>
      <w:pPr>
        <w:pStyle w:val="ListParagraph"/>
        <w:ind w:left="1069" w:hanging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color w:val="000000"/>
        </w:rPr>
        <w:t>Тема №</w:t>
      </w:r>
      <w:r>
        <w:rPr>
          <w:b/>
          <w:color w:val="000000"/>
        </w:rPr>
        <w:fldChar w:fldCharType="begin"/>
      </w:r>
      <w:r>
        <w:rPr>
          <w:b/>
          <w:color w:val="000000"/>
        </w:rPr>
        <w:instrText> SEQ AutoNr \* ARABIC </w:instrText>
      </w:r>
      <w:r>
        <w:rPr>
          <w:b/>
          <w:color w:val="000000"/>
        </w:rPr>
        <w:fldChar w:fldCharType="separate"/>
      </w:r>
      <w:r>
        <w:rPr>
          <w:b/>
          <w:color w:val="000000"/>
        </w:rPr>
        <w:t>4</w:t>
      </w:r>
      <w:r>
        <w:rPr>
          <w:b/>
          <w:color w:val="000000"/>
        </w:rPr>
        <w:fldChar w:fldCharType="end"/>
      </w:r>
      <w:r>
        <w:rPr>
          <w:color w:val="000000"/>
          <w:u w:val="single"/>
        </w:rPr>
        <w:t xml:space="preserve"> </w:t>
      </w:r>
      <w:r>
        <w:rPr>
          <w:b/>
        </w:rPr>
        <w:t>«ЭКГ диагностика гипертрофий предсердий и желудочков у детей».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b/>
          <w:color w:val="000000"/>
        </w:rPr>
        <w:t>Формы текущего контроля</w:t>
      </w:r>
      <w:r>
        <w:rPr>
          <w:color w:val="000000"/>
        </w:rPr>
        <w:t xml:space="preserve"> </w:t>
      </w:r>
      <w:r>
        <w:rPr>
          <w:b/>
          <w:color w:val="000000"/>
        </w:rPr>
        <w:t>успеваемости</w:t>
      </w:r>
      <w:r>
        <w:rPr>
          <w:i/>
          <w:color w:val="000000"/>
        </w:rPr>
        <w:t xml:space="preserve">: </w:t>
      </w:r>
      <w:r>
        <w:rPr>
          <w:color w:val="000000"/>
        </w:rPr>
        <w:t>решение проблемно–ситуационных задач; устный опрос; тестирование; проверка практических навыков.</w:t>
      </w:r>
    </w:p>
    <w:p>
      <w:pPr>
        <w:pStyle w:val="Normal"/>
        <w:ind w:firstLine="709"/>
        <w:jc w:val="both"/>
        <w:rPr>
          <w:i/>
          <w:i/>
          <w:color w:val="000000"/>
        </w:rPr>
      </w:pPr>
      <w:r>
        <w:rPr>
          <w:b/>
          <w:color w:val="000000"/>
        </w:rPr>
        <w:t>Оценочные материалы текущего контроля успеваемости</w:t>
      </w:r>
      <w:r>
        <w:rPr>
          <w:i/>
          <w:color w:val="000000"/>
        </w:rPr>
        <w:t xml:space="preserve"> 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Вопросы для устного опроса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векторная теория гипертрофий предсердий и желудочков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причины, приводящие к развитию гипертрофий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ЭКГ признаки гипертрофии различных отделов сердца в зависимости от возраста.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изменения ЭКГ при нагрузках предсердий.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b/>
          <w:b/>
          <w:i/>
          <w:i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изменения ЭКГ при нагрузках, систолических и диастолических перегрузках левого и правого желудочков.    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Тексты ситуационных задач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Задача № 1. 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  <w:drawing>
          <wp:anchor behindDoc="0" distT="0" distB="0" distL="114300" distR="114300" simplePos="0" locked="0" layoutInCell="0" allowOverlap="1" relativeHeight="33">
            <wp:simplePos x="0" y="0"/>
            <wp:positionH relativeFrom="column">
              <wp:posOffset>0</wp:posOffset>
            </wp:positionH>
            <wp:positionV relativeFrom="paragraph">
              <wp:posOffset>195580</wp:posOffset>
            </wp:positionV>
            <wp:extent cx="2069465" cy="2743835"/>
            <wp:effectExtent l="0" t="0" r="0" b="0"/>
            <wp:wrapSquare wrapText="bothSides"/>
            <wp:docPr id="8" name="Рисунок 1" descr="C:\Documents and Settings\Администратор\Local Settings\Temporary Internet Files\Content.Word\Гипертроф ЛП 11 л ревматиз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1" descr="C:\Documents and Settings\Администратор\Local Settings\Temporary Internet Files\Content.Word\Гипертроф ЛП 11 л ревматизм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65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both"/>
        <w:rPr/>
      </w:pPr>
      <w:r>
        <w:rPr/>
        <w:drawing>
          <wp:inline distT="0" distB="0" distL="0" distR="0">
            <wp:extent cx="2364740" cy="2743835"/>
            <wp:effectExtent l="0" t="0" r="0" b="0"/>
            <wp:docPr id="9" name="Рисунок 4" descr="C:\Documents and Settings\Администратор\Local Settings\Temporary Internet Files\Content.Word\Гипертроф ЛП 11л ревматизм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4" descr="C:\Documents and Settings\Администратор\Local Settings\Temporary Internet Files\Content.Word\Гипертроф ЛП 11л ревматизм 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4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6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  <w:r>
        <w:rPr/>
        <w:t>Гипертрофия левого предсердия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  <w:t>Задача №2.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drawing>
          <wp:anchor behindDoc="0" distT="0" distB="0" distL="114300" distR="114300" simplePos="0" locked="0" layoutInCell="0" allowOverlap="1" relativeHeight="34">
            <wp:simplePos x="0" y="0"/>
            <wp:positionH relativeFrom="column">
              <wp:posOffset>0</wp:posOffset>
            </wp:positionH>
            <wp:positionV relativeFrom="paragraph">
              <wp:posOffset>194945</wp:posOffset>
            </wp:positionV>
            <wp:extent cx="2108200" cy="4429125"/>
            <wp:effectExtent l="0" t="0" r="0" b="0"/>
            <wp:wrapSquare wrapText="bothSides"/>
            <wp:docPr id="10" name="Рисунок 13" descr="C:\Documents and Settings\Администратор\Local Settings\Temporary Internet Files\Content.Word\Гипертроф ЛЖ 1г9м ВП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3" descr="C:\Documents and Settings\Администратор\Local Settings\Temporary Internet Files\Content.Word\Гипертроф ЛЖ 1г9м ВПС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709"/>
        <w:jc w:val="both"/>
        <w:rPr>
          <w:color w:val="000000"/>
        </w:rPr>
      </w:pPr>
      <w:r>
        <w:rPr/>
        <w:drawing>
          <wp:inline distT="0" distB="0" distL="0" distR="0">
            <wp:extent cx="1828800" cy="4429125"/>
            <wp:effectExtent l="0" t="0" r="0" b="0"/>
            <wp:docPr id="11" name="Рисунок 16" descr="C:\Documents and Settings\Администратор\Local Settings\Temporary Internet Files\Content.Word\Гипетроф ЛЖ 1г9м ВПС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6" descr="C:\Documents and Settings\Администратор\Local Settings\Temporary Internet Files\Content.Word\Гипетроф ЛЖ 1г9м ВПС 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11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  <w:r>
        <w:rPr/>
        <w:t>Гипертрофия левого желудочка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Задача№3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/>
        <w:drawing>
          <wp:inline distT="0" distB="0" distL="0" distR="0">
            <wp:extent cx="1952625" cy="3978910"/>
            <wp:effectExtent l="0" t="0" r="0" b="0"/>
            <wp:docPr id="12" name="Рисунок 10" descr="C:\Documents and Settings\Администратор\Local Settings\Temporary Internet Files\Content.Word\Гипертр ПП 10л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0" descr="C:\Documents and Settings\Администратор\Local Settings\Temporary Internet Files\Content.Word\Гипертр ПП 10л 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397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drawing>
          <wp:anchor behindDoc="0" distT="0" distB="0" distL="114300" distR="114300" simplePos="0" locked="0" layoutInCell="0" allowOverlap="1" relativeHeight="35">
            <wp:simplePos x="0" y="0"/>
            <wp:positionH relativeFrom="column">
              <wp:posOffset>0</wp:posOffset>
            </wp:positionH>
            <wp:positionV relativeFrom="paragraph">
              <wp:posOffset>-2239645</wp:posOffset>
            </wp:positionV>
            <wp:extent cx="1704975" cy="3992245"/>
            <wp:effectExtent l="0" t="0" r="0" b="0"/>
            <wp:wrapSquare wrapText="bothSides"/>
            <wp:docPr id="13" name="Рисунок 7" descr="C:\Documents and Settings\Администратор\Local Settings\Temporary Internet Files\Content.Word\Гипертр ПП 10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7" descr="C:\Documents and Settings\Администратор\Local Settings\Temporary Internet Files\Content.Word\Гипертр ПП 10л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3992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12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  <w:r>
        <w:rPr/>
        <w:t>Гипертрофия правого предсердия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Тестовые задания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НА  ЭКГ  В  ПЕРВУЮ  НЕДЕЛЮ  ЖИЗНИ  РЕБЕНКА  НОРМОЙ  ЯВЛЯЕТСЯ: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ГИПЕРТРОФИЯ  ПРАВОГО  ЖЕЛУДОЧКА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ГИПЕРТРОФИЯ  ЛЕВОГО  ЖЕЛУДОЧКА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 Легочная гипертензия  при  ВПС  в грудном  возрасте  характеризуется  преимущественно: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гиперволемией  малого  круга  кровообращения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нормоволемией  малого  круга   кровообращения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гиповолемией  малого  круга  кровообращения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обструктивным  поражением  сосудов  малого  круга  кровообращения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3 КАКИЕ ПАРАМЕТРЫ НАИБОЛЕЕ ОБЪЕКТИВНО ОТРАЖАЕТ РАБОТУ ЛЕВОГО ЖЕЛУДОЧКА ПРИ БОЛЬШОМ ДМЖП: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ТОЛЬКО  А  И  Б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УДАРНЫЙ  ИНДЕКС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СЕРДЕЧНЫЙ  ИНДЕКС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ФВ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5 ИНДЕКС ГЛОБАЛЬНОЙ  ФУНКЦИИ  ЖЕЛУДОЧКА( ТЕЙ-ИНДЕКС)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6 ТОЛЬКО  В  И  Г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4 ДИАСТОЛИЧЕСКАЯ  ФУНКЦИЯ  ЛЕВОГО  ЖЕЛУДОЧКА  В  НАИБОЛЬШЕЙ  СТЕПЕНИ  СТРАДАЕТ  ПРИ: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АОРТАЛЬНОМ  СТЕНОЗЕ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ЛЕГОЧНОМ  СТЕНОЗЕ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ТРАНСПОЗИЦИИ  МАГИСТРАЛЬНЫХ  АРТЕРИЙ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ТЕТРАДЕ  Фалло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5 НОРМАЛЬНАЯ  ЧСС  У  РЕБЕНКА  1  МЕСЯЦА  ЖИЗНИ  СОСТАВЛЯЕТ: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1 120  УДАРОВ  В  МИНУТУ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2 160  УЛАРОВ  В  МИНУТУ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3 200 УДАРОВ  В МИНУТУ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4 100  УДАРОВ  В  МИНУТУ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6 Сумма  площадей  поперечного  сечения  правой  и  левой  артерий  в  норме: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больше или  равно  300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больше  или  равно  200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больше  или  равно  400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больше или  равно  500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7 Нормальное  направление  потока  крови  через  овальное  окно   у  плода: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справа  налево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слева  направо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двухстороннее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меняется  со сроком  беременности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8 Нормальное  направление потока  крови  через  открытый  артериальный  проток  у плода: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из  легочной  артерии  в  аорту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из  аорты  а легочную  артерию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двухстороннее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меняется  со  сроком  беременности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9 Какие  ВПС  имеют  характерную  рентгенологическую   конфигурацию   сердца: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3 супракардиальная  форма  тотального  аномального  дренажа  легочных вен,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коарктация  аорты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тетрада  Фалло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ДМЖП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10 Для   какой  патологии не характерны  рентгенологические признаки  легочной  гиперволемии: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для  коарктации  аорты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для ДМЖП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для  ОАП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для  полной  формы  АВ-канала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11 Для   какой  патологии  характерны   рентгенологические  признаки  легочной  гиповолемии: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 для  тетрады  Фалло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для  аортального  стеноза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для  ДМПП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для  коарктации  аорты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12 При  диагностике ВПС    рентгенография    грудной  клетки  по  сравнению  с  ЭКГ: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дает  большую  информацию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дает  равную  информацию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дает  меньшую  информацию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не  несет  диагностически   значимой  информации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13 Цианоз  при  ВПС не  может  быть  следствием: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ДН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сброса  венозной  крови  в  артериальное русло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разобщение  большого   и  малого  кругов   кровообращения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недостаточности  легочного  кровотока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14 При  гипероксической  пробе  парциальное  давление  кислорода в  артериальной  крови  больного  возросло  на 17   мм  рт.  ст.  Это  свидельствует  о: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ВПС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болезни  гиалиновых  мембран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выраженной  СН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анемии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15 Частота  диагностики  отдельных ВПС  в  неонатальном  периоде зависит  от: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частоты  критических  состояний  при  данном  ВПС, УЗИ   беременных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частоты  сахарного  диабета  в популяции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уровня  алкоголизма в  популяции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16 Соотношение  артериального  давления   правильно  в  случаях, когда: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АД  на  ногах  выше, чем  на  руках  на 10-15  мм  рт.ст.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АД  на руках  и  ногах  одинаково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АД  на  руках  выше, чем  на ногах  на  10-15  мм  рт.  ст.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АД  на  правой  руке  на 10-15  мм  рт.  ст.  выше, чем  на  левой  руке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17 Увеличение  размеров  сердца  в  наибольшей  степени  зависит  от: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объемной  нагрузки  на  сердце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гипоксии  миокарда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нагрузки  на  желудочки  сопротивлением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относительной  коронарной недостаточности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18 Систолический  шум   с  максимумом  на верхушке  сердца   чаще  всего  связан  с  патологией: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митрального  клапана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 аортального клапана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трехстворчатого  клапана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легочного  клапана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19 Систолический  шум  с  максимумом  во  II  межреберье  слева  связан  с  патологией: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аортального  клапана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митрального  клапана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трехстворчатого  клапана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легочного  клапана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20 ЭКГ не отражает: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сократимость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проводимость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возбудимость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автоматизм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5 ни одного  из  перечисленных  параметров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21 ЭКГ новорожденного  ребенка  отличается  от  ЭКГ  взрослого: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отклонением ЭОС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отклонением  ЭОС  влево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удлиненим QT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низкими  зубцами  Р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22 В  норме    у новорожденных  детей  на  ЭКГ   преобладают  потенциалы: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правого  желудочка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левого   желудочка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увеличены  потенциалы  как  левого, так и  правого  желудочков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нет  отличий  от  более  старшего  возраста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23 Во  внутриутробном  периоде  в  норме  отсутствует: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отверстие  в  МЖП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овальное  окно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аранциев  проток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артериальный  проток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24 Форма  сердца  на  рентгенограмме  в  виде  "деревянного  башмачка"  характерна: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для  транспозиции  магистральных  артерий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 для  коарктации  аорты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для  тетрады  Фалло 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color w:val="000000"/>
        </w:rPr>
        <w:t xml:space="preserve">4 для  перикардита 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Практические задания для демонстрации практических навыков</w:t>
      </w:r>
    </w:p>
    <w:p>
      <w:pPr>
        <w:pStyle w:val="ListParagraph"/>
        <w:numPr>
          <w:ilvl w:val="0"/>
          <w:numId w:val="5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выделить жизнеугрожаемые изменения описанных при проведении ЭКГ исследования</w:t>
      </w:r>
    </w:p>
    <w:p>
      <w:pPr>
        <w:pStyle w:val="ListParagraph"/>
        <w:numPr>
          <w:ilvl w:val="0"/>
          <w:numId w:val="5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Интерпретировать ЭКГ признаки при патологии </w:t>
      </w:r>
    </w:p>
    <w:p>
      <w:pPr>
        <w:pStyle w:val="ListParagraph"/>
        <w:numPr>
          <w:ilvl w:val="0"/>
          <w:numId w:val="5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Назначить необходимые дополнительные исследования для постановки диагноза</w:t>
      </w:r>
    </w:p>
    <w:p>
      <w:pPr>
        <w:pStyle w:val="ListParagraph"/>
        <w:ind w:left="1069" w:hanging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color w:val="000000"/>
        </w:rPr>
        <w:t>Тема №</w:t>
      </w:r>
      <w:r>
        <w:rPr>
          <w:b/>
          <w:color w:val="000000"/>
        </w:rPr>
        <w:fldChar w:fldCharType="begin"/>
      </w:r>
      <w:r>
        <w:rPr>
          <w:b/>
          <w:color w:val="000000"/>
        </w:rPr>
        <w:instrText> SEQ AutoNr \* ARABIC </w:instrText>
      </w:r>
      <w:r>
        <w:rPr>
          <w:b/>
          <w:color w:val="000000"/>
        </w:rPr>
        <w:fldChar w:fldCharType="separate"/>
      </w:r>
      <w:r>
        <w:rPr>
          <w:b/>
          <w:color w:val="000000"/>
        </w:rPr>
        <w:t>5</w:t>
      </w:r>
      <w:r>
        <w:rPr>
          <w:b/>
          <w:color w:val="000000"/>
        </w:rPr>
        <w:fldChar w:fldCharType="end"/>
      </w:r>
      <w:r>
        <w:rPr>
          <w:color w:val="000000"/>
          <w:u w:val="single"/>
        </w:rPr>
        <w:t xml:space="preserve"> </w:t>
      </w:r>
      <w:r>
        <w:rPr>
          <w:b/>
        </w:rPr>
        <w:t>«ЭКГ диагностика врожденных пороков сердца у детей».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b/>
          <w:color w:val="000000"/>
        </w:rPr>
        <w:t>Формы текущего контроля</w:t>
      </w:r>
      <w:r>
        <w:rPr>
          <w:color w:val="000000"/>
        </w:rPr>
        <w:t xml:space="preserve"> </w:t>
      </w:r>
      <w:r>
        <w:rPr>
          <w:b/>
          <w:color w:val="000000"/>
        </w:rPr>
        <w:t>успеваемости</w:t>
      </w:r>
      <w:r>
        <w:rPr>
          <w:i/>
          <w:color w:val="000000"/>
        </w:rPr>
        <w:t xml:space="preserve">: </w:t>
      </w:r>
      <w:r>
        <w:rPr>
          <w:color w:val="000000"/>
        </w:rPr>
        <w:t>решение проблемно–ситуационных задач; устный опрос; тестирование; проверка практических навыков.</w:t>
      </w:r>
    </w:p>
    <w:p>
      <w:pPr>
        <w:pStyle w:val="Normal"/>
        <w:ind w:firstLine="709"/>
        <w:jc w:val="both"/>
        <w:rPr>
          <w:i/>
          <w:i/>
          <w:color w:val="000000"/>
        </w:rPr>
      </w:pPr>
      <w:r>
        <w:rPr>
          <w:b/>
          <w:color w:val="000000"/>
        </w:rPr>
        <w:t>Оценочные материалы текущего контроля успеваемости</w:t>
      </w:r>
      <w:r>
        <w:rPr>
          <w:i/>
          <w:color w:val="000000"/>
        </w:rPr>
        <w:t xml:space="preserve"> 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Вопросы для устного опроса</w:t>
      </w:r>
    </w:p>
    <w:p>
      <w:pPr>
        <w:pStyle w:val="Normal"/>
        <w:numPr>
          <w:ilvl w:val="0"/>
          <w:numId w:val="10"/>
        </w:numPr>
        <w:ind w:left="927" w:hanging="360"/>
        <w:jc w:val="both"/>
        <w:rPr/>
      </w:pPr>
      <w:r>
        <w:rPr/>
        <w:t>ЭКГ изменения при ВПС с обогащением малого руга кровообращения</w:t>
      </w:r>
    </w:p>
    <w:p>
      <w:pPr>
        <w:pStyle w:val="Normal"/>
        <w:numPr>
          <w:ilvl w:val="0"/>
          <w:numId w:val="10"/>
        </w:numPr>
        <w:ind w:left="927" w:hanging="360"/>
        <w:jc w:val="both"/>
        <w:rPr/>
      </w:pPr>
      <w:r>
        <w:rPr/>
        <w:t>ЭКГ изменения при ВПС с обогащением большого руга кровообращения</w:t>
      </w:r>
    </w:p>
    <w:p>
      <w:pPr>
        <w:pStyle w:val="ListParagraph"/>
        <w:numPr>
          <w:ilvl w:val="0"/>
          <w:numId w:val="10"/>
        </w:numPr>
        <w:ind w:left="927" w:hanging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причины, приводящие к развитию гипертрофий при ВПС</w:t>
      </w:r>
    </w:p>
    <w:p>
      <w:pPr>
        <w:pStyle w:val="ListParagraph"/>
        <w:numPr>
          <w:ilvl w:val="0"/>
          <w:numId w:val="10"/>
        </w:numPr>
        <w:ind w:left="927" w:hanging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ЭКГ признаки при различных ВПС.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Тексты ситуационных задач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Задача № 1. 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  <w:drawing>
          <wp:anchor behindDoc="0" distT="0" distB="0" distL="114300" distR="114300" simplePos="0" locked="0" layoutInCell="0" allowOverlap="1" relativeHeight="36">
            <wp:simplePos x="0" y="0"/>
            <wp:positionH relativeFrom="column">
              <wp:posOffset>0</wp:posOffset>
            </wp:positionH>
            <wp:positionV relativeFrom="paragraph">
              <wp:posOffset>195580</wp:posOffset>
            </wp:positionV>
            <wp:extent cx="2069465" cy="2743835"/>
            <wp:effectExtent l="0" t="0" r="0" b="0"/>
            <wp:wrapSquare wrapText="bothSides"/>
            <wp:docPr id="14" name="Изображение2" descr="C:\Documents and Settings\Администратор\Local Settings\Temporary Internet Files\Content.Word\Гипертроф ЛП 11 л ревматиз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2" descr="C:\Documents and Settings\Администратор\Local Settings\Temporary Internet Files\Content.Word\Гипертроф ЛП 11 л ревматизм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65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both"/>
        <w:rPr/>
      </w:pPr>
      <w:r>
        <w:rPr/>
        <w:drawing>
          <wp:inline distT="0" distB="0" distL="0" distR="0">
            <wp:extent cx="2364740" cy="2743835"/>
            <wp:effectExtent l="0" t="0" r="0" b="0"/>
            <wp:docPr id="15" name="Изображение3" descr="C:\Documents and Settings\Администратор\Local Settings\Temporary Internet Files\Content.Word\Гипертроф ЛП 11л ревматизм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3" descr="C:\Documents and Settings\Администратор\Local Settings\Temporary Internet Files\Content.Word\Гипертроф ЛП 11л ревматизм 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4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6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  <w:r>
        <w:rPr/>
        <w:t>Гипертрофия левого предсердия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  <w:t>Задача №2.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drawing>
          <wp:anchor behindDoc="0" distT="0" distB="0" distL="114300" distR="114300" simplePos="0" locked="0" layoutInCell="0" allowOverlap="1" relativeHeight="37">
            <wp:simplePos x="0" y="0"/>
            <wp:positionH relativeFrom="column">
              <wp:posOffset>0</wp:posOffset>
            </wp:positionH>
            <wp:positionV relativeFrom="paragraph">
              <wp:posOffset>194945</wp:posOffset>
            </wp:positionV>
            <wp:extent cx="2108200" cy="4429125"/>
            <wp:effectExtent l="0" t="0" r="0" b="0"/>
            <wp:wrapSquare wrapText="bothSides"/>
            <wp:docPr id="16" name="Изображение4" descr="C:\Documents and Settings\Администратор\Local Settings\Temporary Internet Files\Content.Word\Гипертроф ЛЖ 1г9м ВП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4" descr="C:\Documents and Settings\Администратор\Local Settings\Temporary Internet Files\Content.Word\Гипертроф ЛЖ 1г9м ВПС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709"/>
        <w:jc w:val="both"/>
        <w:rPr>
          <w:color w:val="000000"/>
        </w:rPr>
      </w:pPr>
      <w:r>
        <w:rPr/>
        <w:drawing>
          <wp:inline distT="0" distB="0" distL="0" distR="0">
            <wp:extent cx="1828800" cy="4429125"/>
            <wp:effectExtent l="0" t="0" r="0" b="0"/>
            <wp:docPr id="17" name="Изображение5" descr="C:\Documents and Settings\Администратор\Local Settings\Temporary Internet Files\Content.Word\Гипетроф ЛЖ 1г9м ВПС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5" descr="C:\Documents and Settings\Администратор\Local Settings\Temporary Internet Files\Content.Word\Гипетроф ЛЖ 1г9м ВПС 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11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  <w:r>
        <w:rPr/>
        <w:t>Гипертрофия левого желудочка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Задача№3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/>
        <w:drawing>
          <wp:inline distT="0" distB="0" distL="0" distR="0">
            <wp:extent cx="1952625" cy="3978910"/>
            <wp:effectExtent l="0" t="0" r="0" b="0"/>
            <wp:docPr id="18" name="Изображение6" descr="C:\Documents and Settings\Администратор\Local Settings\Temporary Internet Files\Content.Word\Гипертр ПП 10л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6" descr="C:\Documents and Settings\Администратор\Local Settings\Temporary Internet Files\Content.Word\Гипертр ПП 10л 2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397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drawing>
          <wp:anchor behindDoc="0" distT="0" distB="0" distL="114300" distR="114300" simplePos="0" locked="0" layoutInCell="0" allowOverlap="1" relativeHeight="38">
            <wp:simplePos x="0" y="0"/>
            <wp:positionH relativeFrom="column">
              <wp:posOffset>0</wp:posOffset>
            </wp:positionH>
            <wp:positionV relativeFrom="paragraph">
              <wp:posOffset>-2239645</wp:posOffset>
            </wp:positionV>
            <wp:extent cx="1704975" cy="3992245"/>
            <wp:effectExtent l="0" t="0" r="0" b="0"/>
            <wp:wrapSquare wrapText="bothSides"/>
            <wp:docPr id="19" name="Изображение7" descr="C:\Documents and Settings\Администратор\Local Settings\Temporary Internet Files\Content.Word\Гипертр ПП 10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7" descr="C:\Documents and Settings\Администратор\Local Settings\Temporary Internet Files\Content.Word\Гипертр ПП 10л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3992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12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  <w:r>
        <w:rPr/>
        <w:t>Гипертрофия правого предсердия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Тестовые задания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 </w:t>
      </w:r>
      <w:r>
        <w:rPr>
          <w:rFonts w:ascii="Times New Roman" w:hAnsi="Times New Roman"/>
          <w:sz w:val="24"/>
          <w:szCs w:val="24"/>
        </w:rPr>
        <w:t>Вопрос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 При  выпотном перикардите на  ЭКГ  сегмент  ST  смещен: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Варианты ответов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 выше  изолинии (балл - 9)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 ниже  изолинии  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 не  смещен  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 У  девочки  12  лет  отмечаются  периодические  колющие  боли  в  области  сердца.Из  ниже перечисленных  исследований  необходимо  в  первую  очередь  провести: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Варианты ответов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 клинический  анализ  крови  и ЭКГ (балл - 9)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 ФКГ  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 Рентгенография  сердца  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 Проба  с  физической  нагрузкой  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 На  приеме  девочка  10  лет  с  жалобами  на  боли  в  сердце.Клинически  патологии  не  выявлено.Ей  требуется  назначить: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Варианты ответов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 ЭКГ 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 Эхо-КС  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 Велоэргометрия  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 Все  перечисленное  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 Исследование, обязательно  показанное  грудному  ребенку  при  решении  вопроса о  разрешениии  плавания: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Варианты ответов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 ЭКГ  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 Рентгенограмма  сердца  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 Эхо-КС  </w:t>
      </w:r>
    </w:p>
    <w:p>
      <w:pPr>
        <w:pStyle w:val="Plain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 ФКГ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5 Легочная гипертензия  при  ВПС  в грудном  возрасте  характеризуется  преимущественно: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гиперволемией  малого  круга   кровообращения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нормоволемией  малого  круга  кровообращения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гиповолемией  малого  круга  кровообращения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обструктивным  поражением  сосудов  малого  круга  кровообращения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6 КАКИЕ  ПАРАМЕТРЫ  НАИБОЛЕЕ  ОБЪЕКТИВНО  ОТРАЖАЕТ  РАБОТУ  ЛЕВОГО  ЖЕЛУДОЧКА  ПРИ  БОЛЬШОМ  ДМЖП: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УДАРНЫЙ  ИНДЕКС,  СЕРДЕЧНЫЙ  ИНДЕКС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  ФВ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3  ИНДЕКС ГЛОБАЛЬНОЙ  ФУНКЦИИ  ЖЕЛУДОЧКА( ТЕЙ-ИНДЕКС)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7 ДИАСТОЛИЧЕСКАЯ  ФУНКЦИЯ  ЛЕВОГО  ЖЕЛУДОЧКА  В  НАИБОЛЬШЕЙ  СТЕПЕНИ  СТРАДАЕТ  ПРИ: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АОРТАЛЬНОМ  СТЕНОЗЕ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ЛЕГОЧНОМ  СТЕНОЗЕ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ТРАНСПОЗИЦИИ  МАГИСТРАЛЬНЫХ  АРТЕРИЙ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ТЕТРАДЕ  Фалло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8 Нормальное  направление  потока  крови  через  овальное  окно   у  плода: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справа  налево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слева  направо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двухстороннее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меняется  со сроком  беременности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9 Нормальное  направление потока  крови  через  открытый  артериальный  проток  у плода: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из  легочной  артерии  в  аорту (балл - 9)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из  аорты  а легочную  артерию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двухстороннее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меняется  со  сроком  беременности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10 Для   какой  патологии не  характерны  рентгенологические признаки  легочной  гиперволемии: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для коарктации  аорты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для  ОАП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для  полной  формы  АВ-канала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для  ДМЖП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11 Для   какой  патологии  характерны   рентгенологические  признаки  легочной  гиповолемии: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для  тетрады  Фалло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для  аортального  стеноза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для  ДМПП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для  коарктации  аорты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5 для  а  и  в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12 При  диагностике ВПС    рентгенография    грудной  клетки  по  сравнению  с  ЭКГ: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дает  большую  информацию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дает  равную  информацию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дает  меньшую  информацию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не  несет  диагностически   значимой  информации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13 Цианоз  при  ВПС   не может  быть  следствием: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ДН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сброса  венозной  крови  в  артериальное русло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разобщение  большого   и  малого  кругов   кровообращения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 недостаточности  легочного  кровотока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14 При  гипероксической  пробе  парциальное  давление  кислорода в  артериальной  крови  больного  возросло  на 17   мм  рт.  ст.  Это  свидельствует  о: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ВПС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болезни  гиалиновых  мембран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выраженной  СН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анемии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15 Частота  диагностики  отдельных ВПС  в  неонатальном  периоде зависит  от: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частоты  критических  состояний  при  данном  ВПС,  УЗИ   беременных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уровня  алкоголизма в  популяции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частоты  сахарного  диабета  в популяции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16 Соотношение  артериального  давления   правильно  в  случаях, когда: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АД  на  ногах  выше, чем  на  руках  на 10-15  мм  рт.ст.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АД  на руках  и  ногах  одинаково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АД  на  руках  выше, чем  на ногах  на  10-15  мм  рт.  ст.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АД  на  правой  руке  на 10-15  мм  рт.  ст.  выше, чем  на  левой  руке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17 Увеличение  размеров  сердца  в  наибольшей  степени  зависит  от: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объемной  нагрузки  на  сердце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относительной  коронарной недостаточности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гипоксии  миокарда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нагрузки  на  желудочки  сопротивлением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18 Систолический  шум   с  максимумом  на верхушке  сердца   чаще  всего  связан  с  патологией: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 митрального клапана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 аортального клапана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трехстворчатого  клапана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легочного  клапана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19 Систолический  шум  с  максимумом  во  II  межреберье  слева  связан  с  патологией: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трехстворчатого  клапана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митрального  клапана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 аортального клапана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легочного  клапана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20 ЭКГ не отражает: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сократимость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проводимость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возбудимость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автоматизм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5 ни одного из  перечисленных  параметров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21 ЭКГ новорожденного  ребенка  отличается  от  ЭКГ  взрослого: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отклонением ЭОС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отклонением  ЭОС  влево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удлиненим QT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низкими  зубцами  Р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22 В  норме   у новорожденных  детей  на  ЭКГ   преобладают  потенциалы: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правого  желудочка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левого   желудочка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увеличены  потенциалы  как  левого, так и  правого  желудочков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нет  отличий  от  более  старшего  возраста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23 Во  внутриутробном  периоде  в  норме  отсутствует: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отверстие  в  МЖП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овальное  окно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аранциев  проток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артериальный  проток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24 Форма  сердца  на  рентгенограмме  в  виде  "деревянного  башмачка"  характерна: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для  тетрады  Фалло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для  коарктации  аорты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для  транспозиции  магистральных  артерий  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color w:val="000000"/>
        </w:rPr>
        <w:t xml:space="preserve">4 для  перикардита  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Практические задания для демонстрации практических навыков</w:t>
      </w:r>
    </w:p>
    <w:p>
      <w:pPr>
        <w:pStyle w:val="ListParagraph"/>
        <w:numPr>
          <w:ilvl w:val="0"/>
          <w:numId w:val="5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выделить жизнеугрожаемые изменения описанных при проведении ЭКГ исследования</w:t>
      </w:r>
    </w:p>
    <w:p>
      <w:pPr>
        <w:pStyle w:val="ListParagraph"/>
        <w:numPr>
          <w:ilvl w:val="0"/>
          <w:numId w:val="5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Интерпретировать ЭКГ признаки при патологии </w:t>
      </w:r>
    </w:p>
    <w:p>
      <w:pPr>
        <w:pStyle w:val="ListParagraph"/>
        <w:numPr>
          <w:ilvl w:val="0"/>
          <w:numId w:val="5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Назначить необходимые дополнительные исследования для постановки диагноза</w:t>
      </w:r>
    </w:p>
    <w:p>
      <w:pPr>
        <w:pStyle w:val="ListParagraph"/>
        <w:ind w:left="1069" w:hanging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i/>
          <w:i/>
          <w:color w:val="000000"/>
        </w:rPr>
      </w:pPr>
      <w:r>
        <w:rPr>
          <w:b/>
          <w:color w:val="000000"/>
        </w:rPr>
        <w:t>Тема №</w:t>
      </w:r>
      <w:r>
        <w:rPr>
          <w:b/>
          <w:color w:val="000000"/>
        </w:rPr>
        <w:fldChar w:fldCharType="begin"/>
      </w:r>
      <w:r>
        <w:rPr>
          <w:b/>
          <w:color w:val="000000"/>
        </w:rPr>
        <w:instrText> SEQ AutoNr \* ARABIC </w:instrText>
      </w:r>
      <w:r>
        <w:rPr>
          <w:b/>
          <w:color w:val="000000"/>
        </w:rPr>
        <w:fldChar w:fldCharType="separate"/>
      </w:r>
      <w:r>
        <w:rPr>
          <w:b/>
          <w:color w:val="000000"/>
        </w:rPr>
        <w:t>6</w:t>
      </w:r>
      <w:r>
        <w:rPr>
          <w:b/>
          <w:color w:val="000000"/>
        </w:rPr>
        <w:fldChar w:fldCharType="end"/>
      </w:r>
      <w:r>
        <w:rPr>
          <w:color w:val="000000"/>
          <w:u w:val="single"/>
        </w:rPr>
        <w:t xml:space="preserve"> </w:t>
      </w:r>
      <w:r>
        <w:rPr>
          <w:b/>
        </w:rPr>
        <w:t xml:space="preserve">«ЭКГ диагностика </w:t>
      </w:r>
      <w:r>
        <w:rPr/>
        <w:t>нарушений проводимости сердца</w:t>
      </w:r>
      <w:r>
        <w:rPr>
          <w:b/>
        </w:rPr>
        <w:t xml:space="preserve"> у детей».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b/>
          <w:color w:val="000000"/>
        </w:rPr>
        <w:t>Формы текущего контроля</w:t>
      </w:r>
      <w:r>
        <w:rPr>
          <w:color w:val="000000"/>
        </w:rPr>
        <w:t xml:space="preserve"> </w:t>
      </w:r>
      <w:r>
        <w:rPr>
          <w:b/>
          <w:color w:val="000000"/>
        </w:rPr>
        <w:t>успеваемости</w:t>
      </w:r>
      <w:r>
        <w:rPr>
          <w:i/>
          <w:color w:val="000000"/>
        </w:rPr>
        <w:t xml:space="preserve">: </w:t>
      </w:r>
      <w:r>
        <w:rPr>
          <w:color w:val="000000"/>
        </w:rPr>
        <w:t>решение проблемно–ситуационных задач; устный опрос; тестирование; проверка практических навыков</w:t>
      </w:r>
    </w:p>
    <w:p>
      <w:pPr>
        <w:pStyle w:val="Normal"/>
        <w:ind w:firstLine="709"/>
        <w:jc w:val="both"/>
        <w:rPr>
          <w:i/>
          <w:i/>
          <w:color w:val="000000"/>
        </w:rPr>
      </w:pPr>
      <w:r>
        <w:rPr>
          <w:b/>
          <w:color w:val="000000"/>
        </w:rPr>
        <w:t>Оценочные материалы текущего контроля успеваемости</w:t>
      </w:r>
      <w:r>
        <w:rPr>
          <w:i/>
          <w:color w:val="000000"/>
        </w:rPr>
        <w:t xml:space="preserve"> 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Вопросы для устного опроса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векторная теория при нарушения проводимости сердца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причины приводящие к развитию нарушения проводимости сердца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ЭКГ признаки нарушений проводимости сердца в зависимости от вида и проявления в различных возрастах.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изменения ЭКГ при внутрипредсердной блокаде.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изменения ЭКГ при АВ блоках.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b/>
          <w:b/>
          <w:i/>
          <w:i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изменения ЭКГ при блокадах ножек пучка Гиса.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b/>
          <w:b/>
          <w:i/>
          <w:i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жизнеугрожаемые нарушения проводимости.    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Тексты ситуационных задач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№1.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Девочка 12 лет поступила с жалобами на ощущение перебоев в работе сердца, плохую переносимость физической нагрузки.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На ЭКГ: ригидная синусовая брадикардия с ЧСС 38 уд/мин чередующаяся с эктопическим предсердным ритмом с единичными синусовыми комплексами с ЧСС 37-39 уд/мин. При физической нагрузке - отсутствие восстановления устойчивого синусового ритма, ЧСС – 38 уд/мин. Нарушение процессов реполяризации в левых грудных отведениях (депрессия сегмента ST, снижение амплитуды T).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13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numPr>
          <w:ilvl w:val="0"/>
          <w:numId w:val="13"/>
        </w:numPr>
        <w:jc w:val="both"/>
        <w:rPr>
          <w:color w:val="000000"/>
        </w:rPr>
      </w:pPr>
      <w:r>
        <w:rPr>
          <w:color w:val="000000"/>
        </w:rPr>
        <w:t>ЭКГ заключение.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14"/>
        </w:numPr>
        <w:jc w:val="both"/>
        <w:rPr>
          <w:color w:val="000000"/>
        </w:rPr>
      </w:pPr>
      <w:r>
        <w:rPr>
          <w:color w:val="000000"/>
        </w:rPr>
        <w:t xml:space="preserve">У девочки имеет место нарушение электрической функции синусового узла – резкая ригидная брадикардия без физиологического увеличения ЧСС на фоне физической нагрузки в сочетании с эктопическим предсердным ритмом. На фоне брадикардии отмечаются нарушения процессов реполяризации ишемического характера в левом желудочке. </w:t>
      </w:r>
    </w:p>
    <w:p>
      <w:pPr>
        <w:pStyle w:val="Normal"/>
        <w:numPr>
          <w:ilvl w:val="0"/>
          <w:numId w:val="14"/>
        </w:numPr>
        <w:jc w:val="both"/>
        <w:rPr>
          <w:color w:val="000000"/>
        </w:rPr>
      </w:pPr>
      <w:r>
        <w:rPr>
          <w:color w:val="000000"/>
        </w:rPr>
        <w:t xml:space="preserve">ЭКГ признаки синдрома слабости синусового узла, 4 клинический вариант.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№2</w:t>
      </w:r>
    </w:p>
    <w:p>
      <w:pPr>
        <w:pStyle w:val="Normal"/>
        <w:jc w:val="both"/>
        <w:rPr>
          <w:color w:val="000000"/>
        </w:rPr>
      </w:pPr>
      <w:r>
        <w:rPr/>
        <w:drawing>
          <wp:inline distT="0" distB="0" distL="0" distR="0">
            <wp:extent cx="5940425" cy="2960370"/>
            <wp:effectExtent l="0" t="0" r="0" b="0"/>
            <wp:docPr id="20" name="Рисунок 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32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6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15"/>
        </w:numPr>
        <w:jc w:val="both"/>
        <w:rPr>
          <w:color w:val="000000"/>
        </w:rPr>
      </w:pPr>
      <w:r>
        <w:rPr>
          <w:color w:val="000000"/>
        </w:rPr>
        <w:t>Правильная форма трепетания предсердий (ТП) с частотой предсердной импульсации (волн F) 280 в минуту и проведением на желудочки 2:1.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№3</w:t>
      </w:r>
    </w:p>
    <w:p>
      <w:pPr>
        <w:pStyle w:val="Normal"/>
        <w:jc w:val="both"/>
        <w:rPr>
          <w:color w:val="000000"/>
        </w:rPr>
      </w:pPr>
      <w:r>
        <w:rPr/>
        <w:drawing>
          <wp:inline distT="0" distB="0" distL="0" distR="0">
            <wp:extent cx="6054725" cy="3143250"/>
            <wp:effectExtent l="0" t="0" r="0" b="0"/>
            <wp:docPr id="21" name="Рисунок 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33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72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16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17"/>
        </w:numPr>
        <w:jc w:val="both"/>
        <w:rPr>
          <w:color w:val="000000"/>
        </w:rPr>
      </w:pPr>
      <w:r>
        <w:rPr>
          <w:color w:val="000000"/>
        </w:rPr>
        <w:t>Неправильная форма трепетания предсердий (ТП) с частотой предсердной импульсации (волн F) 250 в минуту и кратностью проведения на желудочки от 2:1 до 6:1.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№4</w:t>
      </w:r>
    </w:p>
    <w:p>
      <w:pPr>
        <w:pStyle w:val="Normal"/>
        <w:jc w:val="both"/>
        <w:rPr>
          <w:color w:val="000000"/>
        </w:rPr>
      </w:pPr>
      <w:r>
        <w:rPr/>
        <w:drawing>
          <wp:inline distT="0" distB="0" distL="0" distR="0">
            <wp:extent cx="6010275" cy="3342640"/>
            <wp:effectExtent l="0" t="0" r="0" b="0"/>
            <wp:docPr id="22" name="Рисунок 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34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18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numPr>
          <w:ilvl w:val="0"/>
          <w:numId w:val="18"/>
        </w:numPr>
        <w:jc w:val="both"/>
        <w:rPr>
          <w:color w:val="000000"/>
        </w:rPr>
      </w:pPr>
      <w:r>
        <w:rPr>
          <w:color w:val="000000"/>
        </w:rPr>
        <w:t>Поставьте и обоснуйте предварительный диагноз.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19"/>
        </w:numPr>
        <w:jc w:val="both"/>
        <w:rPr>
          <w:color w:val="000000"/>
        </w:rPr>
      </w:pPr>
      <w:r>
        <w:rPr>
          <w:color w:val="000000"/>
        </w:rPr>
        <w:t>Фибрилляция предсердий, неправильная форма. Частота сокращений желудочков 160-300 в минуту.</w:t>
      </w:r>
    </w:p>
    <w:p>
      <w:pPr>
        <w:pStyle w:val="Normal"/>
        <w:numPr>
          <w:ilvl w:val="0"/>
          <w:numId w:val="19"/>
        </w:numPr>
        <w:jc w:val="both"/>
        <w:rPr>
          <w:color w:val="000000"/>
        </w:rPr>
      </w:pPr>
      <w:r>
        <w:rPr>
          <w:color w:val="000000"/>
        </w:rPr>
        <w:t>Синдром Вольфа-Паркинсона-Уайта с проведением по п. Кента. Ритм желудочков во время трепетания и фибрилляции предсердий у больных с синдромом ВПУ определяется функциональными свойствами аномального пути: чем короче эффективный рефрактерный период пучка Кента, тем выше частота ритма желудочков, которая может достигать 300 и более в минуту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№5</w:t>
      </w:r>
    </w:p>
    <w:p>
      <w:pPr>
        <w:pStyle w:val="Normal"/>
        <w:jc w:val="both"/>
        <w:rPr>
          <w:color w:val="000000"/>
        </w:rPr>
      </w:pPr>
      <w:r>
        <w:rPr/>
        <w:drawing>
          <wp:inline distT="0" distB="0" distL="0" distR="0">
            <wp:extent cx="6143625" cy="2701925"/>
            <wp:effectExtent l="0" t="0" r="0" b="0"/>
            <wp:docPr id="23" name="Рисунок 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35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270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20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26"/>
        </w:numPr>
        <w:jc w:val="both"/>
        <w:rPr>
          <w:color w:val="000000"/>
        </w:rPr>
      </w:pPr>
      <w:r>
        <w:rPr>
          <w:color w:val="000000"/>
        </w:rPr>
        <w:t>Непрерывно рецидивирующая тахикардия из выносящего тракта правого желудочка. Цифрами обозначены интервалы между желудочковыми комплексами в миллисекундах. Стрелкой обозначено сливное сокращение.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№6</w:t>
      </w:r>
    </w:p>
    <w:p>
      <w:pPr>
        <w:pStyle w:val="Normal"/>
        <w:jc w:val="both"/>
        <w:rPr>
          <w:color w:val="000000"/>
        </w:rPr>
      </w:pPr>
      <w:r>
        <w:rPr/>
        <w:drawing>
          <wp:inline distT="0" distB="0" distL="0" distR="0">
            <wp:extent cx="5924550" cy="3597275"/>
            <wp:effectExtent l="0" t="0" r="0" b="0"/>
            <wp:docPr id="24" name="Рисунок 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36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21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27"/>
        </w:numPr>
        <w:jc w:val="both"/>
        <w:rPr>
          <w:color w:val="000000"/>
        </w:rPr>
      </w:pPr>
      <w:r>
        <w:rPr>
          <w:color w:val="000000"/>
        </w:rPr>
        <w:t>Рецидивирующие эпизоды желудочковой тахикардии типа torsade de pointes на фоне предсердно-желудочковой блокады III степени. Синусовая тахикардия предсердий (зубцы Р с частотой 95–105 в мин.) диссоциирует с ритмом желудочков с частотой 28–35 в мин. Значения интервала Q-T составляют 550–620 мс.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№7</w:t>
      </w:r>
    </w:p>
    <w:p>
      <w:pPr>
        <w:pStyle w:val="Normal"/>
        <w:ind w:firstLine="709"/>
        <w:jc w:val="both"/>
        <w:rPr>
          <w:color w:val="000000"/>
        </w:rPr>
      </w:pPr>
      <w:r>
        <w:rPr/>
        <w:drawing>
          <wp:inline distT="0" distB="0" distL="0" distR="0">
            <wp:extent cx="4819650" cy="2511425"/>
            <wp:effectExtent l="0" t="0" r="0" b="0"/>
            <wp:docPr id="25" name="Рисунок 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37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51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22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28"/>
        </w:numPr>
        <w:jc w:val="both"/>
        <w:rPr>
          <w:color w:val="000000"/>
        </w:rPr>
      </w:pPr>
      <w:r>
        <w:rPr>
          <w:color w:val="000000"/>
        </w:rPr>
        <w:t>Спонтанное развитие трепетания желудочков (А) с эволюцией в синусоидальную кривую (Б) и последующим переходом в фибрилляцию желудочков (В).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№8</w:t>
      </w:r>
    </w:p>
    <w:p>
      <w:pPr>
        <w:pStyle w:val="Normal"/>
        <w:jc w:val="both"/>
        <w:rPr>
          <w:color w:val="000000"/>
        </w:rPr>
      </w:pPr>
      <w:r>
        <w:rPr/>
        <w:drawing>
          <wp:inline distT="0" distB="0" distL="0" distR="0">
            <wp:extent cx="6248400" cy="2712720"/>
            <wp:effectExtent l="0" t="0" r="0" b="0"/>
            <wp:docPr id="26" name="Рисунок 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38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23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29"/>
        </w:numPr>
        <w:jc w:val="both"/>
        <w:rPr>
          <w:color w:val="000000"/>
        </w:rPr>
      </w:pPr>
      <w:r>
        <w:rPr>
          <w:color w:val="000000"/>
        </w:rPr>
        <w:t>Изменения ЭКГ при различных типах наследственного синдрома удлиненного интервала QT: (А) — широкая гладкая волна T при СУИQT1;  (Б) — двухфазная T-волна при СУИQT2; (В) — низкоамплитудная и укороченная T-волна с удлиненным, горизонтальным ST-сегментом при СУИQT3.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№9</w:t>
      </w:r>
    </w:p>
    <w:p>
      <w:pPr>
        <w:pStyle w:val="Normal"/>
        <w:ind w:firstLine="709"/>
        <w:jc w:val="both"/>
        <w:rPr>
          <w:color w:val="000000"/>
        </w:rPr>
      </w:pPr>
      <w:r>
        <w:rPr/>
        <w:drawing>
          <wp:inline distT="0" distB="0" distL="0" distR="0">
            <wp:extent cx="3267075" cy="3142615"/>
            <wp:effectExtent l="0" t="0" r="0" b="0"/>
            <wp:docPr id="27" name="Рисунок 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39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14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24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numPr>
          <w:ilvl w:val="0"/>
          <w:numId w:val="24"/>
        </w:numPr>
        <w:jc w:val="both"/>
        <w:rPr>
          <w:color w:val="000000"/>
        </w:rPr>
      </w:pPr>
      <w:r>
        <w:rPr>
          <w:color w:val="000000"/>
        </w:rPr>
        <w:t xml:space="preserve">Поставьте предварительный диагноз. 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30"/>
        </w:numPr>
        <w:jc w:val="both"/>
        <w:rPr>
          <w:color w:val="000000"/>
        </w:rPr>
      </w:pPr>
      <w:r>
        <w:rPr>
          <w:color w:val="000000"/>
        </w:rPr>
        <w:t>Неустойчивый пароксизм полиморфной желудочковой тахикардии (частота сердечных сокращений 160–180 уд./мин.). Стрелками в отведении V1 указана элевация точки J в сокращениях синусового ритма.</w:t>
      </w:r>
    </w:p>
    <w:p>
      <w:pPr>
        <w:pStyle w:val="Normal"/>
        <w:numPr>
          <w:ilvl w:val="0"/>
          <w:numId w:val="30"/>
        </w:numPr>
        <w:jc w:val="both"/>
        <w:rPr>
          <w:color w:val="000000"/>
        </w:rPr>
      </w:pPr>
      <w:r>
        <w:rPr>
          <w:color w:val="000000"/>
        </w:rPr>
        <w:t>Синдром Бругада.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№10</w:t>
      </w:r>
    </w:p>
    <w:p>
      <w:pPr>
        <w:pStyle w:val="Normal"/>
        <w:jc w:val="both"/>
        <w:rPr>
          <w:color w:val="000000"/>
        </w:rPr>
      </w:pPr>
      <w:r>
        <w:rPr/>
        <w:drawing>
          <wp:inline distT="0" distB="0" distL="0" distR="0">
            <wp:extent cx="6323965" cy="4200525"/>
            <wp:effectExtent l="0" t="0" r="0" b="0"/>
            <wp:docPr id="28" name="Рисунок 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40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96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25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31"/>
        </w:numPr>
        <w:jc w:val="both"/>
        <w:rPr>
          <w:color w:val="000000"/>
        </w:rPr>
      </w:pPr>
      <w:r>
        <w:rPr>
          <w:color w:val="000000"/>
        </w:rPr>
        <w:t>Электрокардиографические проявления дисфункции синусового узла, связанные с нарушением функции автоматизма. А – синусовоя брадикардия. Б – остановки синусового узла. В – длительная синусовая пауза. Г – посттахикардитическая остановка синусового узла с выскальзывающим ритмом из АВ соединения. Д – посттахикардитическая остановка синусового узла с выскальзывающими импульсами из АВ соединения и рецидивом мерцательной аритмии.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Тестовые задания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Вопрос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Синусовая  брадикардия не  сопровождается: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удлинением  PQ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увеличением  PP    и  RR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удлинением   QT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все  перечисленное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 При  миграции  водителя ритма  по  предсердиям  на ЭКГ  отмечают: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все ответы правильные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изменение  амплитуды  и  полярности  Р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периодически  отсутствие  Р  перед  QRS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альтернацию  PR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3 Укажите аритмии,  связанные  с   нарушением  образования импульса: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синусовая  брадикардия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экстрасистолия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АВБ  I    степени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4 Врожденная  полная  АВБ  может  быть  при  следующих  состояниях: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коорегированная  транспозиция  магистральных  сосудов, врожденный  кардит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изолированный  стеноз  легочной артерии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аортальный   стеноз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5 Полная  АВБ  у  детей  чаще  является: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врожденной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наследственной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3 приобретенной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6 Наследственные  формы полной  АВБ  характерны  для: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болезни ФАБРИ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муковисцидоза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синдрома   Нунам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7 Врожденная полная  АВБ  нередко  сочетается с 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 L-транспозицией  магистральных  сосудов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 ДМПП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тетрадой  Фалло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8 Наследственная АВБ  наблюдается   при: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синдроме  Кернса-Сейра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Элерса-Данло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Вильмса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9 Критериями  полной  АВБ  являются: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независимое  сокращение  предсердий и  желудочков,  ритм  предсердий  более частый , чем  желудочков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ритм  желудочков  более частый ,  чем  предсердий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3 нет критериев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10 При  АВБ  Мобитц  I   на  ЭКГ  отмечается: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удлинение АВпроведения  с  последующим  выпадением  желудочкового комплекса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удлинение АВпроведения  без  выпадения  желудочкового комплекса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укорочение АВпроведения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11 При  АВБ  Мобитц II    на  ЭКГ  отмечается: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выпадение  QRS  без  предшествующего  удлинения  АВпроведения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удлинение  АВпроведения  с  последующим  выпаденим QRS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укорочение АВпроведения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12 Постепенное удлинение PQ  на  ЭКГ  наблюдается при: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АВБ  II степени  и  Мобитц  I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 АВб  I   степени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АВБ   II  ст. Мобитц II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13 При  пробе с  атропином  у  детей  о гиперваготонии  свидетельствует  учащение ЧСС  на :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более 50  уд. в  мин.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10-50 уд.  в мин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5-10 уд.  в мин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14 При  пробе с  атропином   у  детей  с  ваготонией  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ЧСС  увеличивается  значительно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ЧСС увеличивается  умеренно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ЧСС  не  изменяется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15 Детям с  СССУ  проводят  лекарственные  пробы: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атропин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обзидан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гилуритмал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хлорид  калия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16 Детям  с  АВБ  проводят  лекарственные  пробы: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атропин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обзидан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гилуритмал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хлорид калия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17 Для  второго  варианта  СССУ  по  данным  ЭКГ  характерно: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все ответы правильные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эпизоды синоатриальной  блокады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3 нет правильных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синусовая   брадикардия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18 Для  третьего варианта  СССУ не характерно: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асистолия более  2000мс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синусовая  брадикардия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гетеротопная  брадикардия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19 Для  четвертого варианта СССУ  характерно: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все ответы правильные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выраженная  синусовая  брадикардия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мерцательная  аритмия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эпизоды  асистолии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20 Для  третьего  варианта СССУ  характерно: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чередование синусовой  брадикардии   и  ускоренного  гетеротопного ритма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чередование  эпизодов  синусовой  тахикардии  с брадикардией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все  перечисленное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21 Ускоренный  ритм  при  третьем  варианте  СССУ является: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замещающим  по  отношению к синусовому  ритму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конкурирующим  по  отношению  к   синусовому  ритму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22 Сколько  клинико-ЭКГ вариантов  СССУ  выделяются  у детей: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1 4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2 3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3 2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4 5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23 Синусовая  брадикардия-это: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нарушение  образования  импульса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нарушение   проведения  импульса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все  перечисленное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24 АВБ -это: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нарушение проведения импульса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нарушение  образования импульса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все  перечисленное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25 Какие  значения ЧСС  в  покое  свидетельствуют  о  брадикардии  у   детей 7-9  лет: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менее 60 уд. в  мин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менее  80  уд.  в  мин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3 менее  100  уд.  в  мин (балл - 9)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26 Какие  значения  ЧСС  в  покое  свидельствуют  о  брадикардии   у  детей  12-13 лет: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менее  50 уд.  в  мин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менее  80  уд.  в   мин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менее  60 уд.  в  мин.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27 Какие значения ЧСС  в  покое свидетельствуют  о  брадикардии  у  детей старше 16  лет: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менее 40   в мин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менее  50  в  мин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менее  60  в  мин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Практические задания для демонстрации практических навыков</w:t>
      </w:r>
    </w:p>
    <w:p>
      <w:pPr>
        <w:pStyle w:val="ListParagraph"/>
        <w:numPr>
          <w:ilvl w:val="0"/>
          <w:numId w:val="5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выделить жизнеугрожаемые изменения описанных при проведении ЭКГ исследования</w:t>
      </w:r>
    </w:p>
    <w:p>
      <w:pPr>
        <w:pStyle w:val="ListParagraph"/>
        <w:numPr>
          <w:ilvl w:val="0"/>
          <w:numId w:val="5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Интерпретировать ЭКГ признаки при патологии </w:t>
      </w:r>
    </w:p>
    <w:p>
      <w:pPr>
        <w:pStyle w:val="ListParagraph"/>
        <w:numPr>
          <w:ilvl w:val="0"/>
          <w:numId w:val="5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Назначить необходимые дополнительные исследования для постановки диагноза</w:t>
      </w:r>
    </w:p>
    <w:p>
      <w:pPr>
        <w:pStyle w:val="Normal"/>
        <w:ind w:left="709" w:hanging="0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i/>
          <w:i/>
          <w:color w:val="000000"/>
        </w:rPr>
      </w:pPr>
      <w:r>
        <w:rPr>
          <w:b/>
          <w:color w:val="000000"/>
        </w:rPr>
        <w:t>Тема №</w:t>
      </w:r>
      <w:r>
        <w:rPr>
          <w:b/>
          <w:color w:val="000000"/>
        </w:rPr>
        <w:fldChar w:fldCharType="begin"/>
      </w:r>
      <w:r>
        <w:rPr>
          <w:b/>
          <w:color w:val="000000"/>
        </w:rPr>
        <w:instrText> SEQ AutoNr \* ARABIC </w:instrText>
      </w:r>
      <w:r>
        <w:rPr>
          <w:b/>
          <w:color w:val="000000"/>
        </w:rPr>
        <w:fldChar w:fldCharType="separate"/>
      </w:r>
      <w:r>
        <w:rPr>
          <w:b/>
          <w:color w:val="000000"/>
        </w:rPr>
        <w:t>7</w:t>
      </w:r>
      <w:r>
        <w:rPr>
          <w:b/>
          <w:color w:val="000000"/>
        </w:rPr>
        <w:fldChar w:fldCharType="end"/>
      </w:r>
      <w:r>
        <w:rPr>
          <w:color w:val="000000"/>
          <w:u w:val="single"/>
        </w:rPr>
        <w:t xml:space="preserve"> </w:t>
      </w:r>
      <w:r>
        <w:rPr>
          <w:b/>
        </w:rPr>
        <w:t xml:space="preserve">«ЭКГ диагностика </w:t>
      </w:r>
      <w:r>
        <w:rPr/>
        <w:t>нарушений ритма</w:t>
      </w:r>
      <w:r>
        <w:rPr>
          <w:b/>
        </w:rPr>
        <w:t xml:space="preserve"> у детей».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b/>
          <w:color w:val="000000"/>
        </w:rPr>
        <w:t>Формы текущего контроля</w:t>
      </w:r>
      <w:r>
        <w:rPr>
          <w:color w:val="000000"/>
        </w:rPr>
        <w:t xml:space="preserve"> </w:t>
      </w:r>
      <w:r>
        <w:rPr>
          <w:b/>
          <w:color w:val="000000"/>
        </w:rPr>
        <w:t>успеваемости</w:t>
      </w:r>
      <w:r>
        <w:rPr>
          <w:i/>
          <w:color w:val="000000"/>
        </w:rPr>
        <w:t xml:space="preserve">: </w:t>
      </w:r>
      <w:r>
        <w:rPr>
          <w:color w:val="000000"/>
        </w:rPr>
        <w:t>решение проблемно–ситуационных задач; устный опрос; тестирование; проверка практических навыков</w:t>
      </w:r>
    </w:p>
    <w:p>
      <w:pPr>
        <w:pStyle w:val="Normal"/>
        <w:ind w:firstLine="709"/>
        <w:jc w:val="both"/>
        <w:rPr>
          <w:i/>
          <w:i/>
          <w:color w:val="000000"/>
        </w:rPr>
      </w:pPr>
      <w:r>
        <w:rPr>
          <w:b/>
          <w:color w:val="000000"/>
        </w:rPr>
        <w:t>Оценочные материалы текущего контроля успеваемости</w:t>
      </w:r>
      <w:r>
        <w:rPr>
          <w:i/>
          <w:color w:val="000000"/>
        </w:rPr>
        <w:t xml:space="preserve"> 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Вопросы для устного опроса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векторная теория при нарушениях ритма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причины приводящие к развитию нарушения ритма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ЭКГ признаки нарушений ритма.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изменения ЭКГ при нарушений ритма в зависимости от вида и проявления в различных возрастах.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изменения ЭКГ при экстрасистолии предсердной.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изменения ЭКГ при желудочковой ЭС.    </w:t>
      </w:r>
    </w:p>
    <w:p>
      <w:pPr>
        <w:pStyle w:val="ListParagraph"/>
        <w:numPr>
          <w:ilvl w:val="0"/>
          <w:numId w:val="10"/>
        </w:numPr>
        <w:rPr>
          <w:rFonts w:ascii="Times New Roman" w:hAnsi="Times New Roman"/>
          <w:b/>
          <w:b/>
          <w:i/>
          <w:i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жизнеугрожаемые аритмии.    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Тексты ситуационных задач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№1.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Девочка 12 лет поступила с жалобами на ощущение перебоев в работе сердца, плохую переносимость физической нагрузки.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На ЭКГ: ригидная синусовая брадикардия с ЧСС 38 уд/мин чередующаяся с эктопическим предсердным ритмом с единичными синусовыми комплексами с ЧСС 37-39 уд/мин. При физической нагрузке - отсутствие восстановления устойчивого синусового ритма, ЧСС – 38 уд/мин. Нарушение процессов реполяризации в левых грудных отведениях (депрессия сегмента ST, снижение амплитуды T).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13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numPr>
          <w:ilvl w:val="0"/>
          <w:numId w:val="13"/>
        </w:numPr>
        <w:jc w:val="both"/>
        <w:rPr>
          <w:color w:val="000000"/>
        </w:rPr>
      </w:pPr>
      <w:r>
        <w:rPr>
          <w:color w:val="000000"/>
        </w:rPr>
        <w:t>ЭКГ заключение.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14"/>
        </w:numPr>
        <w:jc w:val="both"/>
        <w:rPr>
          <w:color w:val="000000"/>
        </w:rPr>
      </w:pPr>
      <w:r>
        <w:rPr>
          <w:color w:val="000000"/>
        </w:rPr>
        <w:t xml:space="preserve">У девочки имеет место нарушение электрической функции синусового узла – резкая ригидная брадикардия без физиологического увеличения ЧСС на фоне физической нагрузки в сочетании с эктопическим предсердным ритмом. На фоне брадикардии отмечаются нарушения процессов реполяризации ишемического характера в левом желудочке. </w:t>
      </w:r>
    </w:p>
    <w:p>
      <w:pPr>
        <w:pStyle w:val="Normal"/>
        <w:numPr>
          <w:ilvl w:val="0"/>
          <w:numId w:val="14"/>
        </w:numPr>
        <w:jc w:val="both"/>
        <w:rPr>
          <w:color w:val="000000"/>
        </w:rPr>
      </w:pPr>
      <w:r>
        <w:rPr>
          <w:color w:val="000000"/>
        </w:rPr>
        <w:t xml:space="preserve">ЭКГ признаки синдрома слабости синусового узла, 4 клинический вариант.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№2</w:t>
      </w:r>
    </w:p>
    <w:p>
      <w:pPr>
        <w:pStyle w:val="Normal"/>
        <w:jc w:val="both"/>
        <w:rPr>
          <w:color w:val="000000"/>
        </w:rPr>
      </w:pPr>
      <w:r>
        <w:rPr/>
        <w:drawing>
          <wp:inline distT="0" distB="0" distL="0" distR="0">
            <wp:extent cx="5940425" cy="2960370"/>
            <wp:effectExtent l="0" t="0" r="0" b="0"/>
            <wp:docPr id="29" name="Рисунок 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45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6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15"/>
        </w:numPr>
        <w:jc w:val="both"/>
        <w:rPr>
          <w:color w:val="000000"/>
        </w:rPr>
      </w:pPr>
      <w:r>
        <w:rPr>
          <w:color w:val="000000"/>
        </w:rPr>
        <w:t>Правильная форма трепетания предсердий (ТП) с частотой предсердной импульсации (волн F) 280 в минуту и проведением на желудочки 2:1.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№3</w:t>
      </w:r>
    </w:p>
    <w:p>
      <w:pPr>
        <w:pStyle w:val="Normal"/>
        <w:jc w:val="both"/>
        <w:rPr>
          <w:color w:val="000000"/>
        </w:rPr>
      </w:pPr>
      <w:r>
        <w:rPr/>
        <w:drawing>
          <wp:inline distT="0" distB="0" distL="0" distR="0">
            <wp:extent cx="6054725" cy="3143250"/>
            <wp:effectExtent l="0" t="0" r="0" b="0"/>
            <wp:docPr id="30" name="Рисунок 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46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72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16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17"/>
        </w:numPr>
        <w:jc w:val="both"/>
        <w:rPr>
          <w:color w:val="000000"/>
        </w:rPr>
      </w:pPr>
      <w:r>
        <w:rPr>
          <w:color w:val="000000"/>
        </w:rPr>
        <w:t>Неправильная форма трепетания предсердий (ТП) с частотой предсердной импульсации (волн F) 250 в минуту и кратностью проведения на желудочки от 2:1 до 6:1.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№4</w:t>
      </w:r>
    </w:p>
    <w:p>
      <w:pPr>
        <w:pStyle w:val="Normal"/>
        <w:jc w:val="both"/>
        <w:rPr>
          <w:color w:val="000000"/>
        </w:rPr>
      </w:pPr>
      <w:r>
        <w:rPr/>
        <w:drawing>
          <wp:inline distT="0" distB="0" distL="0" distR="0">
            <wp:extent cx="6010275" cy="3342640"/>
            <wp:effectExtent l="0" t="0" r="0" b="0"/>
            <wp:docPr id="31" name="Рисунок 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47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18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numPr>
          <w:ilvl w:val="0"/>
          <w:numId w:val="18"/>
        </w:numPr>
        <w:jc w:val="both"/>
        <w:rPr>
          <w:color w:val="000000"/>
        </w:rPr>
      </w:pPr>
      <w:r>
        <w:rPr>
          <w:color w:val="000000"/>
        </w:rPr>
        <w:t>Поставьте и обоснуйте предварительный диагноз.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19"/>
        </w:numPr>
        <w:jc w:val="both"/>
        <w:rPr>
          <w:color w:val="000000"/>
        </w:rPr>
      </w:pPr>
      <w:r>
        <w:rPr>
          <w:color w:val="000000"/>
        </w:rPr>
        <w:t>Фибрилляция предсердий, неправильная форма. Частота сокращений желудочков 160-300 в минуту.</w:t>
      </w:r>
    </w:p>
    <w:p>
      <w:pPr>
        <w:pStyle w:val="Normal"/>
        <w:numPr>
          <w:ilvl w:val="0"/>
          <w:numId w:val="19"/>
        </w:numPr>
        <w:jc w:val="both"/>
        <w:rPr>
          <w:color w:val="000000"/>
        </w:rPr>
      </w:pPr>
      <w:r>
        <w:rPr>
          <w:color w:val="000000"/>
        </w:rPr>
        <w:t>Синдром Вольфа-Паркинсона-Уайта с проведением по п. Кента. Ритм желудочков во время трепетания и фибрилляции предсердий у больных с синдромом ВПУ определяется функциональными свойствами аномального пути: чем короче эффективный рефрактерный период пучка Кента, тем выше частота ритма желудочков, которая может достигать 300 и более в минуту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№5</w:t>
      </w:r>
    </w:p>
    <w:p>
      <w:pPr>
        <w:pStyle w:val="Normal"/>
        <w:jc w:val="both"/>
        <w:rPr>
          <w:color w:val="000000"/>
        </w:rPr>
      </w:pPr>
      <w:r>
        <w:rPr/>
        <w:drawing>
          <wp:inline distT="0" distB="0" distL="0" distR="0">
            <wp:extent cx="6143625" cy="2701925"/>
            <wp:effectExtent l="0" t="0" r="0" b="0"/>
            <wp:docPr id="32" name="Рисунок 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48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270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20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26"/>
        </w:numPr>
        <w:jc w:val="both"/>
        <w:rPr>
          <w:color w:val="000000"/>
        </w:rPr>
      </w:pPr>
      <w:r>
        <w:rPr>
          <w:color w:val="000000"/>
        </w:rPr>
        <w:t>Непрерывно рецидивирующая тахикардия из выносящего тракта правого желудочка. Цифрами обозначены интервалы между желудочковыми комплексами в миллисекундах. Стрелкой обозначено сливное сокращение.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№6</w:t>
      </w:r>
    </w:p>
    <w:p>
      <w:pPr>
        <w:pStyle w:val="Normal"/>
        <w:jc w:val="both"/>
        <w:rPr>
          <w:color w:val="000000"/>
        </w:rPr>
      </w:pPr>
      <w:r>
        <w:rPr/>
        <w:drawing>
          <wp:inline distT="0" distB="0" distL="0" distR="0">
            <wp:extent cx="5924550" cy="3597275"/>
            <wp:effectExtent l="0" t="0" r="0" b="0"/>
            <wp:docPr id="33" name="Рисунок 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49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21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27"/>
        </w:numPr>
        <w:jc w:val="both"/>
        <w:rPr>
          <w:color w:val="000000"/>
        </w:rPr>
      </w:pPr>
      <w:r>
        <w:rPr>
          <w:color w:val="000000"/>
        </w:rPr>
        <w:t>Рецидивирующие эпизоды желудочковой тахикардии типа torsade de pointes на фоне предсердно-желудочковой блокады III степени. Синусовая тахикардия предсердий (зубцы Р с частотой 95–105 в мин.) диссоциирует с ритмом желудочков с частотой 28–35 в мин. Значения интервала Q-T составляют 550–620 мс.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№7</w:t>
      </w:r>
    </w:p>
    <w:p>
      <w:pPr>
        <w:pStyle w:val="Normal"/>
        <w:ind w:firstLine="709"/>
        <w:jc w:val="both"/>
        <w:rPr>
          <w:color w:val="000000"/>
        </w:rPr>
      </w:pPr>
      <w:r>
        <w:rPr/>
        <w:drawing>
          <wp:inline distT="0" distB="0" distL="0" distR="0">
            <wp:extent cx="4819650" cy="2511425"/>
            <wp:effectExtent l="0" t="0" r="0" b="0"/>
            <wp:docPr id="34" name="Рисунок 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50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51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22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28"/>
        </w:numPr>
        <w:jc w:val="both"/>
        <w:rPr>
          <w:color w:val="000000"/>
        </w:rPr>
      </w:pPr>
      <w:r>
        <w:rPr>
          <w:color w:val="000000"/>
        </w:rPr>
        <w:t>Спонтанное развитие трепетания желудочков (А) с эволюцией в синусоидальную кривую (Б) и последующим переходом в фибрилляцию желудочков (В).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№8</w:t>
      </w:r>
    </w:p>
    <w:p>
      <w:pPr>
        <w:pStyle w:val="Normal"/>
        <w:ind w:firstLine="709"/>
        <w:jc w:val="both"/>
        <w:rPr>
          <w:color w:val="000000"/>
        </w:rPr>
      </w:pPr>
      <w:r>
        <w:rPr/>
        <w:drawing>
          <wp:inline distT="0" distB="0" distL="0" distR="0">
            <wp:extent cx="6248400" cy="2712720"/>
            <wp:effectExtent l="0" t="0" r="0" b="0"/>
            <wp:docPr id="35" name="Рисунок 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51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23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29"/>
        </w:numPr>
        <w:jc w:val="both"/>
        <w:rPr>
          <w:color w:val="000000"/>
        </w:rPr>
      </w:pPr>
      <w:r>
        <w:rPr>
          <w:color w:val="000000"/>
        </w:rPr>
        <w:t>Изменения ЭКГ при различных типах наследственного синдрома удлиненного интервала QT: (А) — широкая гладкая волна T при СУИQT1;  (Б) — двухфазная T-волна при СУИQT2; (В) — низкоамплитудная и укороченная T-волна с удлиненным, горизонтальным ST-сегментом при СУИQT3.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№9</w:t>
      </w:r>
    </w:p>
    <w:p>
      <w:pPr>
        <w:pStyle w:val="Normal"/>
        <w:ind w:firstLine="709"/>
        <w:jc w:val="both"/>
        <w:rPr>
          <w:color w:val="000000"/>
        </w:rPr>
      </w:pPr>
      <w:r>
        <w:rPr/>
        <w:drawing>
          <wp:inline distT="0" distB="0" distL="0" distR="0">
            <wp:extent cx="3267075" cy="3142615"/>
            <wp:effectExtent l="0" t="0" r="0" b="0"/>
            <wp:docPr id="36" name="Рисунок 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52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14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24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numPr>
          <w:ilvl w:val="0"/>
          <w:numId w:val="24"/>
        </w:numPr>
        <w:jc w:val="both"/>
        <w:rPr>
          <w:color w:val="000000"/>
        </w:rPr>
      </w:pPr>
      <w:r>
        <w:rPr>
          <w:color w:val="000000"/>
        </w:rPr>
        <w:t xml:space="preserve">Поставьте предварительный диагноз. 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30"/>
        </w:numPr>
        <w:jc w:val="both"/>
        <w:rPr>
          <w:color w:val="000000"/>
        </w:rPr>
      </w:pPr>
      <w:r>
        <w:rPr>
          <w:color w:val="000000"/>
        </w:rPr>
        <w:t>Неустойчивый пароксизм полиморфной желудочковой тахикардии (частота сердечных сокращений 160–180 уд./мин.). Стрелками в отведении V1 указана элевация точки J в сокращениях синусового ритма.</w:t>
      </w:r>
    </w:p>
    <w:p>
      <w:pPr>
        <w:pStyle w:val="Normal"/>
        <w:numPr>
          <w:ilvl w:val="0"/>
          <w:numId w:val="30"/>
        </w:numPr>
        <w:jc w:val="both"/>
        <w:rPr>
          <w:color w:val="000000"/>
        </w:rPr>
      </w:pPr>
      <w:r>
        <w:rPr>
          <w:color w:val="000000"/>
        </w:rPr>
        <w:t>Синдром Бругада.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Задача №10</w:t>
      </w:r>
    </w:p>
    <w:p>
      <w:pPr>
        <w:pStyle w:val="Normal"/>
        <w:jc w:val="both"/>
        <w:rPr>
          <w:color w:val="000000"/>
        </w:rPr>
      </w:pPr>
      <w:r>
        <w:rPr/>
        <w:drawing>
          <wp:inline distT="0" distB="0" distL="0" distR="0">
            <wp:extent cx="6323965" cy="4200525"/>
            <wp:effectExtent l="0" t="0" r="0" b="0"/>
            <wp:docPr id="37" name="Рисунок 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53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96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>Вопросы:</w:t>
      </w:r>
    </w:p>
    <w:p>
      <w:pPr>
        <w:pStyle w:val="Normal"/>
        <w:numPr>
          <w:ilvl w:val="0"/>
          <w:numId w:val="25"/>
        </w:numPr>
        <w:jc w:val="both"/>
        <w:rPr>
          <w:color w:val="000000"/>
        </w:rPr>
      </w:pPr>
      <w:r>
        <w:rPr>
          <w:color w:val="000000"/>
        </w:rPr>
        <w:t>Оцените представленные результаты обследования.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  <w:t xml:space="preserve">Эталон ответа: </w:t>
      </w:r>
    </w:p>
    <w:p>
      <w:pPr>
        <w:pStyle w:val="Normal"/>
        <w:numPr>
          <w:ilvl w:val="0"/>
          <w:numId w:val="31"/>
        </w:numPr>
        <w:jc w:val="both"/>
        <w:rPr>
          <w:color w:val="000000"/>
        </w:rPr>
      </w:pPr>
      <w:r>
        <w:rPr>
          <w:color w:val="000000"/>
        </w:rPr>
        <w:t>Электрокардиографические проявления дисфункции синусового узла, связанные с нарушением функции автоматизма. А – синусовоя брадикардия. Б – остановки синусового узла. В – длительная синусовая пауза. Г – посттахикардитическая остановка синусового узла с выскальзывающим ритмом из АВ соединения. Д – посттахикардитическая остановка синусового узла с выскальзывающими импульсами из АВ соединения и рецидивом мерцательной аритмии.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Тестовые задания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Синусовые  тахикардии  на  ЭКГ  встречаются: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при  всем  перечисленном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при  выпотном  перикардите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при  слипчивом  перикардите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при  миокардите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 Ребенку  с  впервые  выявленной  частой  желудочковой  экстрасистолией  следует: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госпитализировать  для   обследования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оставить  дома, назначить  постельный  режим  и  противовоспалительную    терапию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ограничить  ФН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назначить  антиаритмическую  терапию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3 Наиболее  частой  причиной  возникновения  желудочковой  формы  пароксизмальной  тахикардии  является: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органическая  патология  сердца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нейровегетативные  сдвиги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пневмония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эндокринная  патология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4 Для  диагностики  пароксизмальнеой  тахикардии  срочным  исследованием  является: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 ЭКГ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 рентгенография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Эхо-КС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исследование  калия  в крови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5 У детей старше 1 года, для  суправентрикулярной  формы  пароксизмальной  тахикардии  характерными  ЭКГ-признаками  являются: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QRS  ритм  более  180  в  мин,  регулярный,  узкий  QRS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ритм  160 в  мин, регулярный, резко  деформированный  QRS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ритм  150  в  мин,  нерегулярный,  узкий  QRS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4 ритм  130  в  мин, регулярный, узкий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6 У детей старше 1 года, для  желудочковой  формы  пароксизмальной  тахикардии  характерными  ЭКГ-признаками  являются: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ритм  160,  регулярный,  резко  деформированный  QRS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ритм  180 в  мин,  регулярный, узкий  QRS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ритм  130  в  мин,  регулярный,  узкий  QRS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ритм  150  в  мин,  нерегулярный,  узкий  QRS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7 Дети  с  признаками  преждевременного  возбуждения  желудочков  на  ЭКГ  представляют  собой  группу  риска  по  возникновению: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 пароксизмальной  тахикардии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идиопатической  кардиомиопатии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3 ревматизма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перикардита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8 Угрожаемым  по  развитию  пароксизмальной  тахикардии  является  ЭКГ-феномен: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феномен  преждевременного  возбуждения  желудочков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синдрома  ранней  реполяризации  желудочков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удлиненного  АВ-проведения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9 Для  пароксизмальной  предсердной тахикардии  характерно: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ЧСС  более 200  в   мин. у  детей раннего  возраста  и  180 в  мин.  у детей  школьного возраста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наличие  АВ-диссоциации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деформация  и  расширение  QRS  более  0,12  сек.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отсутствие  Р  перед  каждым  QRS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10 Признаком  феномена  WPW  на  ЭКГ  является: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все ответы правильные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расширение  QRS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вторичные   ST-T  изменения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укорочение  PQ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11 Клинически  ЭКГ-феномен  WPW  прявляется: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не  проявляется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редким  ритмом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наличием  систолического  шума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12 При  случайном  выявлении  единичных  экстрасистол  с  узким  QRS  необходимый  объем  исследования  включает: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все ответы правильные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ЭКГ-ХМ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проба  с  дозированной ФН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Эхо-КС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13 Дайте  определение  хронической  синусовой  тахикардии: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стойкое  учащение  синусового  ритма  на  30  проц.  на  всех  ЭКГ  покоя  в  течение  3  мес.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однократное  выявление  учащения  синусового  ритма  более  чем  на  20  проц.  относительно  верхней  границы  возрастной  нормы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14 Синдром  WPW-это: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преждевременное  возбуждение  желудочков  по  дополнительным  путям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преждевременное  возбуждение  желудочков  в  результате  функционирования  эктопического  очага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преждевременное  возбуждение  предсердий  по  дополнительным  путям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15 При какой  локализации  электрофизиологического  субстрата  аритмии  у  детей  прогноз  наиболее неблагоприятен: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АВУзловая  тахикардия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АВ-реципрокная  тахикардия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предсердная  эктопия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16 Какова  характеристика вегетативного  статуса  у  детей с  хронической синусовой  тахикардией: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симпатикотония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ваготония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смешанное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17 Какова  преимущественная  направленность  вегетативного статуса  у  детей с   ПТ: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ваготония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симпатикотония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смешанный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18 Возможно  ли  устранить  фибриляцию  желудочков  путем  высокочастотной  стимуляции  желудочков: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нет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 да</w:t>
      </w:r>
    </w:p>
    <w:p>
      <w:pPr>
        <w:pStyle w:val="Normal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19 Дефицит  пульса  является характерным  симптомом  для: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мерцательной  аритмии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полной  АВБ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суправентрикулярной  экстрасистолии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20 Желудочковая  тахикардия  типа  пируэт характерна  для  синдрома: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Романо-Уорда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WPW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Холта-Орама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21 Парасистолия- это нарушение ритма  сердца, характеризующееся  наличием 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гетеротопного  источника  водителя  ритма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полной  АВБ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желудочковой  бигемении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22 К  гетеротопным  нарушениям  ритма  сердца  относятся: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1 желудочковая  тахикардия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синусовая  тахикардия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АВБ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23 Заболеванием,  сопряженным  с  высоким  риском  возникновения  желудочковой тахикардии  типа  пируэт  является: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синдром  удлиненного  QT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синдром  WPW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3 СССУ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4 все  перечисленное 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24 Какой  эффективный  рефрактерный  период  считается  неблагоприятным  признаком  при  синдроме  WPW: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>Варианты ответов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1 меньше 240  мс 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2 больше 240  мс </w:t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/>
        </w:rPr>
      </w:pPr>
      <w:r>
        <w:rPr>
          <w:b/>
          <w:i/>
          <w:color w:val="000000"/>
        </w:rPr>
        <w:t>Практические задания для демонстрации практических навыков</w:t>
      </w:r>
    </w:p>
    <w:p>
      <w:pPr>
        <w:pStyle w:val="ListParagraph"/>
        <w:numPr>
          <w:ilvl w:val="0"/>
          <w:numId w:val="32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выделить жизнеугрожаемые изменения описанных при проведении ЭКГ исследования</w:t>
      </w:r>
    </w:p>
    <w:p>
      <w:pPr>
        <w:pStyle w:val="ListParagraph"/>
        <w:numPr>
          <w:ilvl w:val="0"/>
          <w:numId w:val="32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Интерпретировать ЭКГ признаки при патологии </w:t>
      </w:r>
    </w:p>
    <w:p>
      <w:pPr>
        <w:pStyle w:val="ListParagraph"/>
        <w:numPr>
          <w:ilvl w:val="0"/>
          <w:numId w:val="32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Назначить необходимые дополнительные исследования для постановки диагноза</w:t>
      </w:r>
    </w:p>
    <w:p>
      <w:pPr>
        <w:pStyle w:val="ListParagraph"/>
        <w:ind w:left="1069" w:hanging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  <w:u w:val="single"/>
        </w:rPr>
      </w:pPr>
      <w:r>
        <w:rPr>
          <w:color w:val="000000"/>
          <w:u w:val="single"/>
        </w:rPr>
      </w:r>
    </w:p>
    <w:p>
      <w:pPr>
        <w:pStyle w:val="Normal"/>
        <w:ind w:firstLine="709"/>
        <w:jc w:val="both"/>
        <w:rPr>
          <w:color w:val="000000"/>
          <w:u w:val="single"/>
        </w:rPr>
      </w:pPr>
      <w:r>
        <w:rPr>
          <w:color w:val="000000"/>
          <w:u w:val="single"/>
        </w:rPr>
      </w:r>
    </w:p>
    <w:p>
      <w:pPr>
        <w:pStyle w:val="Normal"/>
        <w:ind w:firstLine="709"/>
        <w:jc w:val="both"/>
        <w:rPr>
          <w:color w:val="000000"/>
          <w:u w:val="single"/>
        </w:rPr>
      </w:pPr>
      <w:r>
        <w:rPr>
          <w:color w:val="000000"/>
          <w:u w:val="single"/>
        </w:rPr>
      </w:r>
    </w:p>
    <w:p>
      <w:pPr>
        <w:pStyle w:val="Normal"/>
        <w:ind w:firstLine="709"/>
        <w:jc w:val="both"/>
        <w:rPr>
          <w:color w:val="000000"/>
          <w:u w:val="single"/>
        </w:rPr>
      </w:pPr>
      <w:r>
        <w:rPr>
          <w:color w:val="000000"/>
          <w:u w:val="single"/>
        </w:rPr>
      </w:r>
    </w:p>
    <w:p>
      <w:pPr>
        <w:pStyle w:val="Normal"/>
        <w:ind w:firstLine="709"/>
        <w:jc w:val="both"/>
        <w:rPr>
          <w:color w:val="000000"/>
          <w:u w:val="single"/>
        </w:rPr>
      </w:pPr>
      <w:r>
        <w:rPr>
          <w:color w:val="000000"/>
          <w:u w:val="single"/>
        </w:rPr>
      </w:r>
    </w:p>
    <w:p>
      <w:pPr>
        <w:pStyle w:val="Normal"/>
        <w:ind w:firstLine="709"/>
        <w:jc w:val="both"/>
        <w:rPr>
          <w:color w:val="000000"/>
          <w:u w:val="single"/>
        </w:rPr>
      </w:pPr>
      <w:r>
        <w:rPr>
          <w:color w:val="000000"/>
          <w:u w:val="single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  <w:t>Критерии оценивания, применяемые при текущем контроле успеваемости, в том числе при контроле самостоятельной работы обучающихся.</w:t>
      </w:r>
    </w:p>
    <w:p>
      <w:pPr>
        <w:pStyle w:val="Normal"/>
        <w:ind w:firstLine="709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tbl>
      <w:tblPr>
        <w:tblStyle w:val="a3"/>
        <w:tblW w:w="9923" w:type="dxa"/>
        <w:jc w:val="left"/>
        <w:tblInd w:w="25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3005"/>
        <w:gridCol w:w="6917"/>
      </w:tblGrid>
      <w:tr>
        <w:trPr/>
        <w:tc>
          <w:tcPr>
            <w:tcW w:w="3005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  <w:kern w:val="0"/>
                <w:lang w:val="ru-RU" w:bidi="ar-SA"/>
              </w:rPr>
              <w:t xml:space="preserve">Форма контроля </w:t>
            </w:r>
          </w:p>
        </w:tc>
        <w:tc>
          <w:tcPr>
            <w:tcW w:w="691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ind w:firstLine="709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  <w:kern w:val="0"/>
                <w:lang w:val="ru-RU" w:bidi="ar-SA"/>
              </w:rPr>
              <w:t>Критерии оценивания</w:t>
            </w:r>
          </w:p>
        </w:tc>
      </w:tr>
      <w:tr>
        <w:trPr/>
        <w:tc>
          <w:tcPr>
            <w:tcW w:w="3005" w:type="dxa"/>
            <w:vMerge w:val="restart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  <w:kern w:val="0"/>
                <w:lang w:val="ru-RU" w:bidi="ar-SA"/>
              </w:rPr>
              <w:t>тестирование</w:t>
            </w:r>
          </w:p>
        </w:tc>
        <w:tc>
          <w:tcPr>
            <w:tcW w:w="691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ind w:firstLine="709"/>
              <w:jc w:val="both"/>
              <w:rPr>
                <w:b/>
                <w:b/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Оценка «ОТЛИЧНО» выставляется при условии 90-100% правильных ответов</w:t>
            </w:r>
          </w:p>
        </w:tc>
      </w:tr>
      <w:tr>
        <w:trPr/>
        <w:tc>
          <w:tcPr>
            <w:tcW w:w="3005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</w:rPr>
            </w:r>
          </w:p>
        </w:tc>
        <w:tc>
          <w:tcPr>
            <w:tcW w:w="691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ind w:firstLine="709"/>
              <w:jc w:val="both"/>
              <w:rPr>
                <w:b/>
                <w:b/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Оценка «ХОРОШО» выставляется при условии 75-89% правильных ответов</w:t>
            </w:r>
          </w:p>
        </w:tc>
      </w:tr>
      <w:tr>
        <w:trPr/>
        <w:tc>
          <w:tcPr>
            <w:tcW w:w="3005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</w:rPr>
            </w:r>
          </w:p>
        </w:tc>
        <w:tc>
          <w:tcPr>
            <w:tcW w:w="691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ind w:firstLine="709"/>
              <w:jc w:val="both"/>
              <w:rPr>
                <w:b/>
                <w:b/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Оценка «УДОВЛЕТВОРИТЕЛЬНО» выставляется при условии 60-74% правильных ответов</w:t>
            </w:r>
          </w:p>
        </w:tc>
      </w:tr>
      <w:tr>
        <w:trPr/>
        <w:tc>
          <w:tcPr>
            <w:tcW w:w="3005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</w:rPr>
            </w:r>
          </w:p>
        </w:tc>
        <w:tc>
          <w:tcPr>
            <w:tcW w:w="6917" w:type="dxa"/>
            <w:tcBorders/>
          </w:tcPr>
          <w:p>
            <w:pPr>
              <w:pStyle w:val="Normal"/>
              <w:widowControl w:val="false"/>
              <w:suppressAutoHyphens w:val="true"/>
              <w:spacing w:beforeAutospacing="1" w:after="0"/>
              <w:ind w:firstLine="709"/>
              <w:jc w:val="both"/>
              <w:rPr>
                <w:b/>
                <w:b/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Оценка «НЕУДОВЛЕТВОРИТЕЛЬНО» выставляется при условии 59% и меньше правильных ответов.</w:t>
            </w:r>
          </w:p>
        </w:tc>
      </w:tr>
      <w:tr>
        <w:trPr>
          <w:trHeight w:val="180" w:hRule="atLeast"/>
        </w:trPr>
        <w:tc>
          <w:tcPr>
            <w:tcW w:w="3005" w:type="dxa"/>
            <w:vMerge w:val="restart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  <w:kern w:val="0"/>
                <w:lang w:val="ru-RU" w:bidi="ar-SA"/>
              </w:rPr>
              <w:t>проверка практических навыков</w:t>
            </w:r>
          </w:p>
        </w:tc>
        <w:tc>
          <w:tcPr>
            <w:tcW w:w="6917" w:type="dxa"/>
            <w:tcBorders/>
          </w:tcPr>
          <w:p>
            <w:pPr>
              <w:pStyle w:val="Normal"/>
              <w:widowControl w:val="false"/>
              <w:suppressAutoHyphens w:val="true"/>
              <w:spacing w:beforeAutospacing="1" w:after="0"/>
              <w:ind w:firstLine="709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 xml:space="preserve">Оценка «ЗАЧТЕНО» выставляется, если обучающийся </w:t>
            </w:r>
            <w:r>
              <w:rPr>
                <w:kern w:val="0"/>
                <w:lang w:val="ru-RU" w:bidi="ar-SA"/>
              </w:rPr>
              <w:t>освоил практические навыки предусмотренные программой, при их демонстрации полностью или с незначительными погрешностями соблюдал алгоритм и технику выполнения.</w:t>
            </w:r>
          </w:p>
        </w:tc>
      </w:tr>
      <w:tr>
        <w:trPr>
          <w:trHeight w:val="229" w:hRule="atLeast"/>
        </w:trPr>
        <w:tc>
          <w:tcPr>
            <w:tcW w:w="3005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</w:rPr>
            </w:r>
          </w:p>
        </w:tc>
        <w:tc>
          <w:tcPr>
            <w:tcW w:w="6917" w:type="dxa"/>
            <w:tcBorders/>
          </w:tcPr>
          <w:p>
            <w:pPr>
              <w:pStyle w:val="Normal"/>
              <w:widowControl w:val="false"/>
              <w:suppressAutoHyphens w:val="true"/>
              <w:spacing w:beforeAutospacing="1" w:after="0"/>
              <w:ind w:firstLine="709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Оценка «НЕ ЗАЧТЕНО» выставляется, если обучающийся</w:t>
            </w:r>
            <w:r>
              <w:rPr>
                <w:kern w:val="0"/>
                <w:lang w:val="ru-RU" w:bidi="ar-SA"/>
              </w:rPr>
              <w:t xml:space="preserve"> не смог продемонстрировать выполнение практических навыков или при их демонстрации допустил существенные ошибки.</w:t>
            </w:r>
          </w:p>
        </w:tc>
      </w:tr>
      <w:tr>
        <w:trPr>
          <w:trHeight w:val="151" w:hRule="atLeast"/>
        </w:trPr>
        <w:tc>
          <w:tcPr>
            <w:tcW w:w="3005" w:type="dxa"/>
            <w:vMerge w:val="restart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  <w:kern w:val="0"/>
                <w:lang w:val="ru-RU" w:bidi="ar-SA"/>
              </w:rPr>
              <w:t>проверка историй болезни</w:t>
            </w:r>
          </w:p>
        </w:tc>
        <w:tc>
          <w:tcPr>
            <w:tcW w:w="6917" w:type="dxa"/>
            <w:tcBorders/>
          </w:tcPr>
          <w:p>
            <w:pPr>
              <w:pStyle w:val="Normal"/>
              <w:widowControl w:val="false"/>
              <w:suppressAutoHyphens w:val="true"/>
              <w:spacing w:beforeAutospacing="1" w:after="0"/>
              <w:ind w:firstLine="709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Оценка «ЗАЧТЕНО» выставляется, если обучающийся продемонстрировал правильно или с незначительными погрешностями заполненные истории болезни, обосновал диагностические, лечебные, реабилитационные, профилактические и организационные мероприятия в соответствии с клиническими рекомендациями (протоколами ведения), порядками и стандартами оказания медицинской помощи.</w:t>
            </w:r>
          </w:p>
        </w:tc>
      </w:tr>
      <w:tr>
        <w:trPr>
          <w:trHeight w:val="150" w:hRule="atLeast"/>
        </w:trPr>
        <w:tc>
          <w:tcPr>
            <w:tcW w:w="3005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</w:rPr>
            </w:r>
          </w:p>
        </w:tc>
        <w:tc>
          <w:tcPr>
            <w:tcW w:w="6917" w:type="dxa"/>
            <w:tcBorders/>
          </w:tcPr>
          <w:p>
            <w:pPr>
              <w:pStyle w:val="Normal"/>
              <w:widowControl w:val="false"/>
              <w:suppressAutoHyphens w:val="true"/>
              <w:spacing w:beforeAutospacing="1" w:after="0"/>
              <w:ind w:firstLine="709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Оценка «НЕ ЗАЧТЕНО» выставляется, если обучающийся</w:t>
            </w:r>
            <w:r>
              <w:rPr>
                <w:kern w:val="0"/>
                <w:lang w:val="ru-RU" w:bidi="ar-SA"/>
              </w:rPr>
              <w:t xml:space="preserve"> не смог продемонстрировать заполненные истории болезни или при их ведении допустил существенные ошибки, не смог</w:t>
            </w:r>
            <w:r>
              <w:rPr>
                <w:color w:val="000000"/>
                <w:kern w:val="0"/>
                <w:lang w:val="ru-RU" w:bidi="ar-SA"/>
              </w:rPr>
              <w:t xml:space="preserve"> обосновать проведенные диагностические, лечебные, реабилитационные, профилактические и организационные мероприятия.</w:t>
            </w:r>
          </w:p>
        </w:tc>
      </w:tr>
    </w:tbl>
    <w:p>
      <w:pPr>
        <w:pStyle w:val="Normal"/>
        <w:spacing w:before="0" w:after="160"/>
        <w:jc w:val="both"/>
        <w:rPr>
          <w:b/>
          <w:b/>
          <w:color w:val="000000"/>
        </w:rPr>
      </w:pPr>
      <w:r>
        <w:rPr>
          <w:b/>
          <w:color w:val="000000"/>
        </w:rPr>
      </w:r>
      <w:r>
        <w:br w:type="page"/>
      </w:r>
    </w:p>
    <w:p>
      <w:pPr>
        <w:pStyle w:val="ListParagraph"/>
        <w:numPr>
          <w:ilvl w:val="0"/>
          <w:numId w:val="1"/>
        </w:numPr>
        <w:outlineLvl w:val="0"/>
        <w:rPr>
          <w:rFonts w:ascii="Times New Roman" w:hAnsi="Times New Roman"/>
          <w:b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Оценочные материалы промежуточной аттестации обучающихся.</w:t>
      </w:r>
    </w:p>
    <w:p>
      <w:pPr>
        <w:pStyle w:val="ListParagraph"/>
        <w:numPr>
          <w:ilvl w:val="0"/>
          <w:numId w:val="0"/>
        </w:numPr>
        <w:tabs>
          <w:tab w:val="clear" w:pos="708"/>
          <w:tab w:val="left" w:pos="1935" w:leader="none"/>
        </w:tabs>
        <w:ind w:left="720" w:hanging="0"/>
        <w:outlineLvl w:val="0"/>
        <w:rPr>
          <w:rFonts w:ascii="Times New Roman" w:hAnsi="Times New Roman"/>
          <w:b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ab/>
      </w:r>
    </w:p>
    <w:p>
      <w:pPr>
        <w:pStyle w:val="Normal"/>
        <w:ind w:firstLine="708"/>
        <w:jc w:val="both"/>
        <w:rPr>
          <w:color w:val="000000"/>
        </w:rPr>
      </w:pPr>
      <w:r>
        <w:rPr>
          <w:color w:val="000000"/>
        </w:rPr>
        <w:t>Промежуточная аттестация по дисциплине «Функциональная диагностика» проводится в форме зачета  в устной форме.</w:t>
      </w:r>
    </w:p>
    <w:p>
      <w:pPr>
        <w:pStyle w:val="ListParagraph"/>
        <w:ind w:left="0" w:firstLine="709"/>
        <w:rPr>
          <w:rFonts w:ascii="Times New Roman" w:hAnsi="Times New Roman"/>
          <w:b/>
          <w:b/>
          <w:i/>
          <w:i/>
          <w:color w:val="000000"/>
          <w:sz w:val="24"/>
          <w:szCs w:val="24"/>
        </w:rPr>
      </w:pPr>
      <w:r>
        <w:rPr>
          <w:rFonts w:ascii="Times New Roman" w:hAnsi="Times New Roman"/>
          <w:b/>
          <w:i/>
          <w:color w:val="000000"/>
          <w:sz w:val="24"/>
          <w:szCs w:val="24"/>
        </w:rPr>
      </w:r>
    </w:p>
    <w:p>
      <w:pPr>
        <w:pStyle w:val="ListParagraph"/>
        <w:ind w:left="0" w:firstLine="709"/>
        <w:rPr>
          <w:rFonts w:ascii="Times New Roman" w:hAnsi="Times New Roman"/>
          <w:b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Критерии, применяемые для оценивания обучающихся на промежуточной аттестации</w:t>
      </w:r>
    </w:p>
    <w:p>
      <w:pPr>
        <w:pStyle w:val="ListParagraph"/>
        <w:ind w:left="0" w:firstLine="709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Normal"/>
        <w:jc w:val="both"/>
        <w:rPr>
          <w:color w:val="000000"/>
        </w:rPr>
      </w:pPr>
      <w:r>
        <w:rPr>
          <w:color w:val="000000"/>
        </w:rPr>
      </w:r>
    </w:p>
    <w:tbl>
      <w:tblPr>
        <w:tblStyle w:val="a3"/>
        <w:tblW w:w="9356" w:type="dxa"/>
        <w:jc w:val="left"/>
        <w:tblInd w:w="817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2439"/>
        <w:gridCol w:w="6916"/>
      </w:tblGrid>
      <w:tr>
        <w:trPr/>
        <w:tc>
          <w:tcPr>
            <w:tcW w:w="2439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  <w:kern w:val="0"/>
                <w:lang w:val="ru-RU" w:bidi="ar-SA"/>
              </w:rPr>
              <w:t xml:space="preserve">Форма контроля </w:t>
            </w:r>
          </w:p>
        </w:tc>
        <w:tc>
          <w:tcPr>
            <w:tcW w:w="6916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ind w:firstLine="709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  <w:kern w:val="0"/>
                <w:lang w:val="ru-RU" w:bidi="ar-SA"/>
              </w:rPr>
              <w:t>Критерии оценивания</w:t>
            </w:r>
          </w:p>
        </w:tc>
      </w:tr>
      <w:tr>
        <w:trPr/>
        <w:tc>
          <w:tcPr>
            <w:tcW w:w="2439" w:type="dxa"/>
            <w:vMerge w:val="restart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  <w:kern w:val="0"/>
                <w:lang w:val="ru-RU" w:bidi="ar-SA"/>
              </w:rPr>
              <w:t>устный опрос</w:t>
            </w:r>
          </w:p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</w:rPr>
            </w:r>
          </w:p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</w:rPr>
            </w:r>
          </w:p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</w:rPr>
            </w:r>
          </w:p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</w:rPr>
            </w:r>
          </w:p>
        </w:tc>
        <w:tc>
          <w:tcPr>
            <w:tcW w:w="6916" w:type="dxa"/>
            <w:tcBorders/>
          </w:tcPr>
          <w:p>
            <w:pPr>
              <w:pStyle w:val="Normal"/>
              <w:widowControl w:val="false"/>
              <w:suppressAutoHyphens w:val="true"/>
              <w:spacing w:beforeAutospacing="1" w:after="0"/>
              <w:ind w:firstLine="709"/>
              <w:jc w:val="both"/>
              <w:rPr>
                <w:b/>
                <w:b/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Оценкой "ОТЛИЧНО" оценивается ответ, который показывает прочные знания основных вопросов изучаемого материала, отличается глубиной и полнотой раскрытия темы; владение терминологическим аппаратом; умение объяснять сущность явлений, процессов, событий, делать выводы и обобщения, давать аргументированные ответы, приводить примеры; свободное владение монологической речью, логичность и последовательность ответа.</w:t>
            </w:r>
          </w:p>
        </w:tc>
      </w:tr>
      <w:tr>
        <w:trPr/>
        <w:tc>
          <w:tcPr>
            <w:tcW w:w="2439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</w:rPr>
            </w:r>
          </w:p>
        </w:tc>
        <w:tc>
          <w:tcPr>
            <w:tcW w:w="6916" w:type="dxa"/>
            <w:tcBorders/>
            <w:shd w:color="auto" w:fill="auto" w:val="clear"/>
          </w:tcPr>
          <w:p>
            <w:pPr>
              <w:pStyle w:val="Normal"/>
              <w:widowControl w:val="false"/>
              <w:suppressAutoHyphens w:val="true"/>
              <w:spacing w:beforeAutospacing="1" w:after="0"/>
              <w:ind w:firstLine="709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Оценкой "ХОРОШО" оценивается ответ, обнаруживающий прочные знания основных вопросов изучаемого материла, отличается глубиной и полнотой раскрытия темы; владение терминологическим аппаратом; умение объяснять сущность явлений, процессов, событий, делать выводы и обобщения, давать аргументированные ответы, приводить примеры; свободное владение монологической речью, логичность и последовательность ответа. Однако допускается одна - две неточности в ответе.</w:t>
            </w:r>
          </w:p>
        </w:tc>
      </w:tr>
      <w:tr>
        <w:trPr/>
        <w:tc>
          <w:tcPr>
            <w:tcW w:w="2439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</w:rPr>
            </w:r>
          </w:p>
        </w:tc>
        <w:tc>
          <w:tcPr>
            <w:tcW w:w="6916" w:type="dxa"/>
            <w:tcBorders/>
          </w:tcPr>
          <w:p>
            <w:pPr>
              <w:pStyle w:val="Normal"/>
              <w:widowControl w:val="false"/>
              <w:suppressAutoHyphens w:val="true"/>
              <w:spacing w:beforeAutospacing="1" w:after="0"/>
              <w:ind w:firstLine="709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Оценкой "УДОВЛЕТВОРИТЕЛЬНО" оценивается ответ, свидетельствующий в основном о знании изучаемого материала, отличающийся недостаточной глубиной и полнотой раскрытия темы; знанием основных вопросов теории; слабо сформированными навыками анализа явлений, процессов, недостаточным умением давать аргументированные ответы и приводить примеры; недостаточно свободным владением монологической речью, логичностью и последовательностью ответа. Допускается несколько ошибок в содержании ответа.</w:t>
            </w:r>
          </w:p>
        </w:tc>
      </w:tr>
      <w:tr>
        <w:trPr/>
        <w:tc>
          <w:tcPr>
            <w:tcW w:w="2439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</w:rPr>
            </w:r>
          </w:p>
        </w:tc>
        <w:tc>
          <w:tcPr>
            <w:tcW w:w="6916" w:type="dxa"/>
            <w:tcBorders/>
          </w:tcPr>
          <w:p>
            <w:pPr>
              <w:pStyle w:val="Normal"/>
              <w:widowControl w:val="false"/>
              <w:suppressAutoHyphens w:val="true"/>
              <w:spacing w:beforeAutospacing="1" w:after="0"/>
              <w:ind w:firstLine="709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Оценкой "НЕУДОВЛЕТВОРИТЕЛЬНО" оценивается ответ, обнаруживающий незнание изучаемого материла, отличающийся неглубоким раскрытием темы; незнанием основных вопросов теории, несформированными навыками анализа явлений, процессов; неумением давать аргументированные ответы, слабым владением монологической речью, отсутствием логичности и последовательности. Допускаются серьезные ошибки в содержании ответа.</w:t>
            </w:r>
          </w:p>
        </w:tc>
      </w:tr>
      <w:tr>
        <w:trPr>
          <w:trHeight w:val="180" w:hRule="atLeast"/>
        </w:trPr>
        <w:tc>
          <w:tcPr>
            <w:tcW w:w="2439" w:type="dxa"/>
            <w:vMerge w:val="restart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  <w:kern w:val="0"/>
                <w:lang w:val="ru-RU" w:bidi="ar-SA"/>
              </w:rPr>
              <w:t>проверка практических навыков</w:t>
            </w:r>
          </w:p>
        </w:tc>
        <w:tc>
          <w:tcPr>
            <w:tcW w:w="6916" w:type="dxa"/>
            <w:tcBorders/>
          </w:tcPr>
          <w:p>
            <w:pPr>
              <w:pStyle w:val="Normal"/>
              <w:widowControl w:val="false"/>
              <w:suppressAutoHyphens w:val="true"/>
              <w:spacing w:beforeAutospacing="1" w:after="0"/>
              <w:ind w:firstLine="709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 xml:space="preserve">Оценка «ЗАЧТЕНО» выставляется, если обучающийся </w:t>
            </w:r>
            <w:r>
              <w:rPr>
                <w:kern w:val="0"/>
                <w:lang w:val="ru-RU" w:bidi="ar-SA"/>
              </w:rPr>
              <w:t>освоил практические навыки, предусмотренные программой, при их демонстрации полностью иди с незначительными погрешностями соблюдал алгоритм и технику выполнения.</w:t>
            </w:r>
          </w:p>
        </w:tc>
      </w:tr>
      <w:tr>
        <w:trPr>
          <w:trHeight w:val="229" w:hRule="atLeast"/>
        </w:trPr>
        <w:tc>
          <w:tcPr>
            <w:tcW w:w="2439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b/>
                <w:b/>
                <w:color w:val="000000"/>
              </w:rPr>
            </w:pPr>
            <w:r>
              <w:rPr>
                <w:b/>
                <w:color w:val="000000"/>
              </w:rPr>
            </w:r>
          </w:p>
        </w:tc>
        <w:tc>
          <w:tcPr>
            <w:tcW w:w="6916" w:type="dxa"/>
            <w:tcBorders/>
          </w:tcPr>
          <w:p>
            <w:pPr>
              <w:pStyle w:val="Normal"/>
              <w:widowControl w:val="false"/>
              <w:suppressAutoHyphens w:val="true"/>
              <w:spacing w:beforeAutospacing="1" w:after="0"/>
              <w:ind w:firstLine="709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Оценка «НЕ ЗАЧТЕНО» выставляется, если обучающийся</w:t>
            </w:r>
            <w:r>
              <w:rPr>
                <w:kern w:val="0"/>
                <w:lang w:val="ru-RU" w:bidi="ar-SA"/>
              </w:rPr>
              <w:t xml:space="preserve"> не смог продемонстрировать выполнение практических навыков или при их демонстрации допустил существенные ошибки.</w:t>
            </w:r>
          </w:p>
        </w:tc>
      </w:tr>
    </w:tbl>
    <w:p>
      <w:pPr>
        <w:pStyle w:val="ListParagraph"/>
        <w:ind w:left="0" w:firstLine="709"/>
        <w:rPr>
          <w:rFonts w:ascii="Times New Roman" w:hAnsi="Times New Roman"/>
          <w:b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</w:r>
    </w:p>
    <w:p>
      <w:pPr>
        <w:pStyle w:val="ListParagraph"/>
        <w:ind w:left="0" w:firstLine="709"/>
        <w:rPr>
          <w:rFonts w:ascii="Times New Roman" w:hAnsi="Times New Roman"/>
          <w:b/>
          <w:b/>
          <w:i/>
          <w:i/>
          <w:color w:val="000000"/>
          <w:sz w:val="24"/>
          <w:szCs w:val="24"/>
        </w:rPr>
      </w:pPr>
      <w:r>
        <w:rPr>
          <w:rFonts w:ascii="Times New Roman" w:hAnsi="Times New Roman"/>
          <w:b/>
          <w:i/>
          <w:color w:val="000000"/>
          <w:sz w:val="24"/>
          <w:szCs w:val="24"/>
        </w:rPr>
        <w:t>Вопросы для проверки теоретических знаний по дисциплине по выбору</w:t>
      </w:r>
    </w:p>
    <w:p>
      <w:pPr>
        <w:pStyle w:val="ListParagraph"/>
        <w:ind w:left="0" w:firstLine="709"/>
        <w:rPr>
          <w:rFonts w:ascii="Times New Roman" w:hAnsi="Times New Roman"/>
          <w:b/>
          <w:b/>
          <w:i/>
          <w:i/>
          <w:color w:val="000000"/>
          <w:sz w:val="24"/>
          <w:szCs w:val="24"/>
        </w:rPr>
      </w:pPr>
      <w:r>
        <w:rPr>
          <w:rFonts w:ascii="Times New Roman" w:hAnsi="Times New Roman"/>
          <w:b/>
          <w:i/>
          <w:color w:val="000000"/>
          <w:sz w:val="24"/>
          <w:szCs w:val="24"/>
        </w:rPr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Особенности ЭКГ у недоношенных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Особенности ЭКГ новорожденного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Особенности ЭКГ у детей раннего возраста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Особенности ЭКГ у детей школьного возраста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проводящая система сердца у детей, функции проводящей системы сердца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анализ зубцов и интервалов ЭКГ в норме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векторная теория гипертрофий предсердий и желудочков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причины, приводящие к развитию гипертрофий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ЭКГ признаки гипертрофии различных отделов сердца в зависимости от возраста.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векторная теория при нарушениях проводимости сердца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причины приводящие к развитию нарушения проводимости сердца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ЭКГ признаки нарушений проводимости сердца в зависимости от вида и проявления в различных возрастах.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изменения ЭКГ при внутрипредсердной блокаде.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изменения ЭКГ при АВ блоках.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изменения ЭКГ при блокадах ножек пучка Гиса.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векторная теория при нарушениях ритма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причины приводящие к развитию нарушения ритма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изменения ЭКГ при нарушениях ритма в зависимости от вида в различных возрастах.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изменения ЭКГ при экстрасистолии предсердной.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изменения ЭКГ при желудочковой ЭС.    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жизнеугрожаемые аритмии. Группы риска.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ЭКГ изменения при ВПС с обогащением малого круга кровообращения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ЭКГ изменения при ВПС с обогащением большого круга кровообращения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причины, приводящие к развитию гипертрофий при ВПС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ЭКГ признаки при различных ВПС.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Организация и порядок оказания медицинской помощи кардиологическим больным; - санитарно-эпидемиологический режим работы лечебных учреждений 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Маршрутизация пациентов при выявлении отклонений в состоянии здоровья. 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Чем осуществляется объективный контроль за состояние здоровья плода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Как осуществляется транспортировка больного с патологией сердца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Какими методами можно оценить эффективность реабилитации новорожденного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Роль различных методов диагностики для профилактики и сохранения здоровья новорожденного. 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Маршрутизация в детской кардиологии. Этапы, организация.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Как осуществляется экспертиза качества оказания помощи больным в вашем подразделении.</w:t>
      </w:r>
    </w:p>
    <w:p>
      <w:pPr>
        <w:pStyle w:val="ListParagraph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bookmarkStart w:id="1" w:name="_Hlk22826190"/>
      <w:r>
        <w:rPr>
          <w:rFonts w:ascii="Times New Roman" w:hAnsi="Times New Roman"/>
          <w:sz w:val="24"/>
          <w:szCs w:val="24"/>
        </w:rPr>
        <w:t xml:space="preserve">Принципы проведения лечебно-эвакуационных мероприятий в условиях чрезвычайной ситуации, в экстремальных </w:t>
      </w:r>
      <w:bookmarkEnd w:id="1"/>
      <w:r>
        <w:rPr>
          <w:rFonts w:ascii="Times New Roman" w:hAnsi="Times New Roman"/>
          <w:sz w:val="24"/>
          <w:szCs w:val="24"/>
        </w:rPr>
        <w:t>условиях эпидемий, в очагах пожара</w:t>
      </w:r>
    </w:p>
    <w:p>
      <w:pPr>
        <w:pStyle w:val="Normal"/>
        <w:jc w:val="both"/>
        <w:rPr>
          <w:color w:val="000000"/>
          <w:u w:val="single"/>
        </w:rPr>
      </w:pPr>
      <w:r>
        <w:rPr>
          <w:color w:val="000000"/>
          <w:u w:val="single"/>
        </w:rPr>
      </w:r>
    </w:p>
    <w:p>
      <w:pPr>
        <w:pStyle w:val="Normal"/>
        <w:jc w:val="both"/>
        <w:rPr>
          <w:color w:val="000000"/>
          <w:u w:val="single"/>
        </w:rPr>
      </w:pPr>
      <w:r>
        <w:rPr>
          <w:color w:val="000000"/>
          <w:u w:val="single"/>
        </w:rPr>
      </w:r>
    </w:p>
    <w:p>
      <w:pPr>
        <w:pStyle w:val="Normal"/>
        <w:ind w:firstLine="709"/>
        <w:jc w:val="both"/>
        <w:rPr>
          <w:b/>
          <w:b/>
          <w:i/>
          <w:i/>
          <w:color w:val="000000" w:themeColor="text1"/>
        </w:rPr>
      </w:pPr>
      <w:r>
        <w:rPr>
          <w:b/>
          <w:i/>
          <w:color w:val="000000" w:themeColor="text1"/>
        </w:rPr>
        <w:t xml:space="preserve">Типовые практические задания для проверки </w:t>
      </w:r>
    </w:p>
    <w:p>
      <w:pPr>
        <w:pStyle w:val="Normal"/>
        <w:ind w:firstLine="709"/>
        <w:jc w:val="both"/>
        <w:rPr>
          <w:b/>
          <w:b/>
          <w:i/>
          <w:i/>
          <w:color w:val="000000" w:themeColor="text1"/>
        </w:rPr>
      </w:pPr>
      <w:r>
        <w:rPr>
          <w:b/>
          <w:i/>
          <w:color w:val="000000" w:themeColor="text1"/>
        </w:rPr>
        <w:t>сформированных умений и навыков</w:t>
      </w:r>
    </w:p>
    <w:p>
      <w:pPr>
        <w:pStyle w:val="Normal"/>
        <w:ind w:firstLine="709"/>
        <w:jc w:val="both"/>
        <w:rPr>
          <w:b/>
          <w:b/>
          <w:i/>
          <w:i/>
          <w:color w:val="000000" w:themeColor="text1"/>
        </w:rPr>
      </w:pPr>
      <w:r>
        <w:rPr>
          <w:b/>
          <w:i/>
          <w:color w:val="000000" w:themeColor="text1"/>
        </w:rPr>
      </w:r>
    </w:p>
    <w:p>
      <w:pPr>
        <w:pStyle w:val="ListParagraph"/>
        <w:widowControl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Описать электрокардиограмму новорожденному возрастом 1 день.</w:t>
      </w:r>
    </w:p>
    <w:p>
      <w:pPr>
        <w:pStyle w:val="ListParagraph"/>
        <w:widowControl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Описать электрокардиограмму новорожденному возрастом 1 день </w:t>
      </w:r>
    </w:p>
    <w:p>
      <w:pPr>
        <w:pStyle w:val="ListParagraph"/>
        <w:widowControl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Оцените представленные электрокардиограммы с гипертрофиями предсердий</w:t>
      </w:r>
    </w:p>
    <w:p>
      <w:pPr>
        <w:pStyle w:val="ListParagraph"/>
        <w:widowControl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Оцените представленные электрокардиограммы с гипертрофиями желудочков</w:t>
      </w:r>
    </w:p>
    <w:p>
      <w:pPr>
        <w:pStyle w:val="ListParagraph"/>
        <w:widowControl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Оцените представленные электрокардиограммы со слабостью синусового узла</w:t>
      </w:r>
    </w:p>
    <w:p>
      <w:pPr>
        <w:pStyle w:val="ListParagraph"/>
        <w:widowControl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Оцените представленные электрокардиограммы с нарушением проводимости по АВ узлу.</w:t>
      </w:r>
    </w:p>
    <w:p>
      <w:pPr>
        <w:pStyle w:val="ListParagraph"/>
        <w:widowControl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Оцените представленные электрокардиограммы с трепетанием предсердий</w:t>
      </w:r>
    </w:p>
    <w:p>
      <w:pPr>
        <w:pStyle w:val="ListParagraph"/>
        <w:widowControl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Оцените представленные электрокардиограммы с трепетанием желудочков</w:t>
      </w:r>
    </w:p>
    <w:p>
      <w:pPr>
        <w:pStyle w:val="ListParagraph"/>
        <w:widowControl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Оцените представленные электрокардиограммы с пароксизмальной тахикардией</w:t>
      </w:r>
    </w:p>
    <w:p>
      <w:pPr>
        <w:pStyle w:val="ListParagraph"/>
        <w:widowControl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Оцените представленные электрокардиограммы с каналопатией</w:t>
      </w:r>
    </w:p>
    <w:p>
      <w:pPr>
        <w:pStyle w:val="ListParagraph"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Вы выезжаете для оказания лечебно-консультативной помощи ребенку в составе выездной кардиологической реанимационной бригады, приготовьте необходимое оборудование.</w:t>
      </w:r>
    </w:p>
    <w:p>
      <w:pPr>
        <w:pStyle w:val="ListParagraph"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Рассчитайте частоту встречаемости нарушений ритма у детей</w:t>
      </w:r>
    </w:p>
    <w:p>
      <w:pPr>
        <w:pStyle w:val="ListParagraph"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Вы выявили феномен </w:t>
      </w:r>
      <w:r>
        <w:rPr>
          <w:rFonts w:ascii="Times New Roman" w:hAnsi="Times New Roman"/>
          <w:color w:val="000000" w:themeColor="text1"/>
          <w:sz w:val="24"/>
          <w:szCs w:val="24"/>
          <w:lang w:val="en-US"/>
        </w:rPr>
        <w:t>WPW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  – определите прогноз для здоровья ребенка.</w:t>
      </w:r>
    </w:p>
    <w:p>
      <w:pPr>
        <w:pStyle w:val="ListParagraph"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Проведите транспортировку новорожденного в отделении патологи новорожденных</w:t>
      </w:r>
    </w:p>
    <w:p>
      <w:pPr>
        <w:pStyle w:val="ListParagraph"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У ребенка выявлен синдром </w:t>
      </w:r>
      <w:r>
        <w:rPr>
          <w:rFonts w:ascii="Times New Roman" w:hAnsi="Times New Roman"/>
          <w:color w:val="000000" w:themeColor="text1"/>
          <w:sz w:val="24"/>
          <w:szCs w:val="24"/>
          <w:lang w:val="en-US"/>
        </w:rPr>
        <w:t>WPW</w:t>
      </w:r>
      <w:r>
        <w:rPr>
          <w:rFonts w:ascii="Times New Roman" w:hAnsi="Times New Roman"/>
          <w:color w:val="000000" w:themeColor="text1"/>
          <w:sz w:val="24"/>
          <w:szCs w:val="24"/>
        </w:rPr>
        <w:t>, определите прогноз для жизни.</w:t>
      </w:r>
    </w:p>
    <w:p>
      <w:pPr>
        <w:pStyle w:val="ListParagraph"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Как вы оцениваете состояние здоровья ребенка по представленной электрокардиограмме</w:t>
      </w:r>
    </w:p>
    <w:p>
      <w:pPr>
        <w:pStyle w:val="ListParagraph"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При выявлении врожденной патологии развития плода определите тактику действия врача.</w:t>
      </w:r>
    </w:p>
    <w:p>
      <w:pPr>
        <w:pStyle w:val="ListParagraph"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Проведите экспертизу качества оказания диагностической помощи больному. </w:t>
      </w:r>
    </w:p>
    <w:p>
      <w:pPr>
        <w:pStyle w:val="ListParagraph"/>
        <w:widowControl/>
        <w:numPr>
          <w:ilvl w:val="0"/>
          <w:numId w:val="2"/>
        </w:numPr>
        <w:rPr>
          <w:rFonts w:ascii="Times New Roman" w:hAnsi="Times New Roman"/>
          <w:color w:val="000000" w:themeColor="text1"/>
          <w:sz w:val="24"/>
          <w:szCs w:val="24"/>
        </w:rPr>
      </w:pPr>
      <w:bookmarkStart w:id="2" w:name="_Hlk22825765"/>
      <w:r>
        <w:rPr>
          <w:rFonts w:ascii="Times New Roman" w:hAnsi="Times New Roman"/>
          <w:color w:val="000000" w:themeColor="text1"/>
          <w:sz w:val="24"/>
          <w:szCs w:val="24"/>
        </w:rPr>
        <w:t>В отделении возник пожар, проведите план эвакуации больных, матерей и персонала</w:t>
      </w:r>
      <w:bookmarkEnd w:id="2"/>
      <w:r>
        <w:rPr>
          <w:rFonts w:ascii="Times New Roman" w:hAnsi="Times New Roman"/>
          <w:color w:val="000000" w:themeColor="text1"/>
          <w:sz w:val="24"/>
          <w:szCs w:val="24"/>
        </w:rPr>
        <w:t>.</w:t>
      </w:r>
      <w:bookmarkStart w:id="3" w:name="_Hlk22825375"/>
      <w:bookmarkEnd w:id="3"/>
    </w:p>
    <w:p>
      <w:pPr>
        <w:pStyle w:val="Normal"/>
        <w:ind w:left="360" w:hanging="0"/>
        <w:jc w:val="both"/>
        <w:rPr>
          <w:color w:val="000000" w:themeColor="text1"/>
        </w:rPr>
      </w:pPr>
      <w:r>
        <w:rPr>
          <w:color w:val="000000" w:themeColor="text1"/>
        </w:rPr>
      </w:r>
    </w:p>
    <w:p>
      <w:pPr>
        <w:pStyle w:val="Normal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spacing w:before="0" w:after="200"/>
        <w:jc w:val="both"/>
        <w:rPr>
          <w:b/>
          <w:b/>
          <w:i/>
          <w:i/>
          <w:color w:val="000000" w:themeColor="text1"/>
        </w:rPr>
      </w:pPr>
      <w:r>
        <w:rPr>
          <w:b/>
          <w:i/>
          <w:color w:val="000000" w:themeColor="text1"/>
        </w:rPr>
        <w:t>Эталоны решения типовых практических заданий</w:t>
      </w:r>
    </w:p>
    <w:p>
      <w:pPr>
        <w:pStyle w:val="ListParagraph"/>
        <w:numPr>
          <w:ilvl w:val="0"/>
          <w:numId w:val="3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ЭОС отклонена право. Ритм синусовый, ЧСС 130 в 1мин.</w:t>
      </w:r>
    </w:p>
    <w:p>
      <w:pPr>
        <w:pStyle w:val="ListParagraph"/>
        <w:numPr>
          <w:ilvl w:val="0"/>
          <w:numId w:val="3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Нормальное положение ЭОС. Ритм синусовый, ЧСС 75 в 1мин.</w:t>
      </w:r>
    </w:p>
    <w:p>
      <w:pPr>
        <w:pStyle w:val="ListParagraph"/>
        <w:numPr>
          <w:ilvl w:val="0"/>
          <w:numId w:val="3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Нормальное положение ЭОС. Ритм синусовый, ЧСС 102 в 1мин. ЭКГ признаки гипертрофии левого предсердия. Исключить ВПС. Рекомендуется проведение ЭхоКГ.</w:t>
      </w:r>
    </w:p>
    <w:p>
      <w:pPr>
        <w:pStyle w:val="ListParagraph"/>
        <w:numPr>
          <w:ilvl w:val="0"/>
          <w:numId w:val="3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ЭОС отклонена влево. Ритм синусовый, ЧСС 110 в 1мин. ЭКГ признаки гипертрофии левого желудочка. Исключить ВПС. Рекомендуется проведение ЭхоКГ.</w:t>
      </w:r>
    </w:p>
    <w:p>
      <w:pPr>
        <w:pStyle w:val="ListParagraph"/>
        <w:numPr>
          <w:ilvl w:val="0"/>
          <w:numId w:val="3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Нормальное положение ЭОС. Ригидная синусовая брадикардия с ЧСС 38 уд/мин чередующаяся с эктопическим предсердным ритмом с единичными синусовыми комплексами с ЧСС 37-39 уд/мин. При физической нагрузке - отсутствие восстановления устойчивого синусового ритма, ЧСС – 38 уд/мин. Нарушение процессов реполяризации в левых грудных отведениях (депрессия сегмента ST, снижение амплитуды T). Необходимо проведение суточного мониторирования ЭКГ.</w:t>
      </w:r>
    </w:p>
    <w:p>
      <w:pPr>
        <w:pStyle w:val="ListParagraph"/>
        <w:numPr>
          <w:ilvl w:val="0"/>
          <w:numId w:val="3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Частота сокращения предсердий 100 уд в мин, частота сокращения желудочков 60 в мин. АВ блокада 3-й степени. Группа риска по СВС.</w:t>
      </w:r>
    </w:p>
    <w:p>
      <w:pPr>
        <w:pStyle w:val="ListParagraph"/>
        <w:numPr>
          <w:ilvl w:val="0"/>
          <w:numId w:val="3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Правильная форма трепетания предсердий с частотой предсердной импульсации (волн F) 280 в минуту и проведением на желудочки 2:1. Необходимо проведение суточного мониторирования ЭКГ.</w:t>
      </w:r>
    </w:p>
    <w:p>
      <w:pPr>
        <w:pStyle w:val="ListParagraph"/>
        <w:numPr>
          <w:ilvl w:val="0"/>
          <w:numId w:val="3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Спонтанное развитие трепетания желудочков с эволюцией в синусоидальную кривую и последующим переходом в фибрилляцию желудочков.</w:t>
      </w:r>
    </w:p>
    <w:p>
      <w:pPr>
        <w:pStyle w:val="ListParagraph"/>
        <w:numPr>
          <w:ilvl w:val="0"/>
          <w:numId w:val="3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Неустойчивый пароксизм полиморфной желудочковой тахикардии (частота сердечных сокращений 160–180 уд./мин.). В отведении V1 элевация точки J в сокращениях синусового ритма. Необходимо проведение суточного мониторирования ЭКГ, генетического обследования. Необходимо исключить синдром Бругада. </w:t>
      </w:r>
    </w:p>
    <w:p>
      <w:pPr>
        <w:pStyle w:val="ListParagraph"/>
        <w:numPr>
          <w:ilvl w:val="0"/>
          <w:numId w:val="3"/>
        </w:numPr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Нормальное положение ЭОС. Ритм синусовый, ЧСС 78 в 1мин. Интервал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QT</w:t>
      </w:r>
      <w:r>
        <w:rPr>
          <w:rFonts w:ascii="Times New Roman" w:hAnsi="Times New Roman"/>
          <w:color w:val="000000"/>
          <w:sz w:val="24"/>
          <w:szCs w:val="24"/>
        </w:rPr>
        <w:t xml:space="preserve"> = 0,45 сек (увеличен).  Необходимо проведение суточного мониторирования ЭКГ. Группа риска по СВС.</w:t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  <w:t>Таблица соответствия результатов обучения по дисциплине и оценочных материалов, используемых на промежуточной аттестации.</w:t>
      </w:r>
    </w:p>
    <w:tbl>
      <w:tblPr>
        <w:tblStyle w:val="a3"/>
        <w:tblW w:w="10005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393"/>
        <w:gridCol w:w="2411"/>
        <w:gridCol w:w="4963"/>
        <w:gridCol w:w="2237"/>
      </w:tblGrid>
      <w:tr>
        <w:trPr/>
        <w:tc>
          <w:tcPr>
            <w:tcW w:w="39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ind w:firstLine="7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№</w:t>
            </w:r>
          </w:p>
        </w:tc>
        <w:tc>
          <w:tcPr>
            <w:tcW w:w="2411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Проверяемая компетенция</w:t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Дескриптор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Контрольно-оценочное средство (номер вопроса/практического задания)</w:t>
            </w:r>
          </w:p>
        </w:tc>
      </w:tr>
      <w:tr>
        <w:trPr/>
        <w:tc>
          <w:tcPr>
            <w:tcW w:w="393" w:type="dxa"/>
            <w:vMerge w:val="restart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ind w:firstLine="7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restart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ПК - 3</w:t>
            </w:r>
            <w:r>
              <w:rPr>
                <w:kern w:val="0"/>
                <w:lang w:val="ru-RU" w:bidi="ar-SA"/>
              </w:rPr>
              <w:t xml:space="preserve"> </w:t>
            </w:r>
            <w:r>
              <w:rPr>
                <w:color w:val="000000"/>
                <w:kern w:val="0"/>
                <w:lang w:val="ru-RU" w:bidi="ar-SA"/>
              </w:rPr>
              <w:t>готовность к проведению противоэпидемических мероприятий, организации защиты населения в очагах особо опасных инфекций, при ухудшении радиационной обстановки, стихийных бедствиях и иных чрезвычайных ситуациях</w:t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Знать: организацию и порядок оказания медицинской помощи детям; - санитарно-эпидемиологический режим работы лечебных учреждений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Вопрос 26</w:t>
            </w:r>
          </w:p>
        </w:tc>
      </w:tr>
      <w:tr>
        <w:trPr/>
        <w:tc>
          <w:tcPr>
            <w:tcW w:w="393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ind w:firstLine="7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Уметь: провести дезинфекцию и стерилизацию оборудования, аппаратуры и инструментария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Задание 11</w:t>
            </w:r>
          </w:p>
        </w:tc>
      </w:tr>
      <w:tr>
        <w:trPr/>
        <w:tc>
          <w:tcPr>
            <w:tcW w:w="393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ind w:firstLine="7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Владеть: мероприятиями санитарно-эпидемиологического характера при работе в отделениях функциональной диагностики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Задание 11</w:t>
            </w:r>
          </w:p>
        </w:tc>
      </w:tr>
      <w:tr>
        <w:trPr/>
        <w:tc>
          <w:tcPr>
            <w:tcW w:w="393" w:type="dxa"/>
            <w:vMerge w:val="restart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restart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ПК-5: готовность к определению у пациентов патологических состояний, симптомов, синдромов заболеваний, нозологических форм в соответствии с Международной статистической классификацией болезней и проблем, связанных со здоровьем</w:t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Знать</w:t>
            </w:r>
          </w:p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классификацию основных заболеваний в соответствии с Международной статистической классификацией болезней и проблем, связанных со здоровьем, методы их диагностики и диагностические критерии.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 xml:space="preserve">вопросы № 1- 21. </w:t>
            </w:r>
          </w:p>
        </w:tc>
      </w:tr>
      <w:tr>
        <w:trPr/>
        <w:tc>
          <w:tcPr>
            <w:tcW w:w="393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Уметь</w:t>
            </w:r>
          </w:p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определять патологические изменения при использовании диагностических методов исследования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практические задания № 1-10.</w:t>
            </w:r>
          </w:p>
        </w:tc>
      </w:tr>
      <w:tr>
        <w:trPr/>
        <w:tc>
          <w:tcPr>
            <w:tcW w:w="393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Владеть</w:t>
            </w:r>
          </w:p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методами оценки патологических состояний, симптомов, синдромов заболеваний.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практические задания № 1-10.</w:t>
            </w:r>
          </w:p>
        </w:tc>
      </w:tr>
      <w:tr>
        <w:trPr/>
        <w:tc>
          <w:tcPr>
            <w:tcW w:w="393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restart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color w:val="000000"/>
              </w:rPr>
            </w:pPr>
            <w:r>
              <w:rPr>
                <w:color w:val="000000"/>
                <w:kern w:val="0"/>
                <w:szCs w:val="27"/>
                <w:shd w:fill="FFFFFF" w:val="clear"/>
                <w:lang w:val="ru-RU" w:bidi="ar-SA"/>
              </w:rPr>
              <w:t>ПК-6 готовность к применению методов функциональной диагностики и интерпретации их результатов</w:t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Знать:</w:t>
            </w:r>
            <w:r>
              <w:rPr>
                <w:kern w:val="0"/>
                <w:lang w:val="ru-RU" w:bidi="ar-SA"/>
              </w:rPr>
              <w:t xml:space="preserve"> </w:t>
            </w:r>
            <w:r>
              <w:rPr>
                <w:color w:val="000000"/>
                <w:kern w:val="0"/>
                <w:lang w:val="ru-RU" w:bidi="ar-SA"/>
              </w:rPr>
              <w:t>эффективность методов функциональной диагностики в качестве объективизации оценки результатов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kern w:val="0"/>
                <w:lang w:val="ru-RU" w:bidi="ar-SA"/>
              </w:rPr>
            </w:pPr>
            <w:r>
              <w:rPr>
                <w:kern w:val="0"/>
                <w:lang w:val="ru-RU" w:bidi="ar-SA"/>
              </w:rPr>
              <w:t>Вопрос 21, 30, 31</w:t>
            </w:r>
          </w:p>
        </w:tc>
      </w:tr>
      <w:tr>
        <w:trPr/>
        <w:tc>
          <w:tcPr>
            <w:tcW w:w="393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Уметь:</w:t>
            </w:r>
            <w:r>
              <w:rPr>
                <w:kern w:val="0"/>
                <w:lang w:val="ru-RU" w:bidi="ar-SA"/>
              </w:rPr>
              <w:t xml:space="preserve"> </w:t>
            </w:r>
            <w:r>
              <w:rPr>
                <w:color w:val="000000"/>
                <w:kern w:val="0"/>
                <w:lang w:val="ru-RU" w:bidi="ar-SA"/>
              </w:rPr>
              <w:t>применять различные методики для улучшения качества исследования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kern w:val="0"/>
                <w:lang w:val="ru-RU" w:bidi="ar-SA"/>
              </w:rPr>
            </w:pPr>
            <w:r>
              <w:rPr>
                <w:color w:val="000000"/>
                <w:kern w:val="0"/>
                <w:lang w:val="ru-RU" w:bidi="ar-SA"/>
              </w:rPr>
              <w:t>практические задания № 11</w:t>
            </w:r>
          </w:p>
        </w:tc>
      </w:tr>
      <w:tr>
        <w:trPr/>
        <w:tc>
          <w:tcPr>
            <w:tcW w:w="393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Владеть:</w:t>
            </w:r>
            <w:r>
              <w:rPr>
                <w:kern w:val="0"/>
                <w:lang w:val="ru-RU" w:bidi="ar-SA"/>
              </w:rPr>
              <w:t xml:space="preserve"> </w:t>
            </w:r>
            <w:r>
              <w:rPr>
                <w:color w:val="000000"/>
                <w:kern w:val="0"/>
                <w:lang w:val="ru-RU" w:bidi="ar-SA"/>
              </w:rPr>
              <w:t>методиками проведения функционального исследования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kern w:val="0"/>
                <w:lang w:val="ru-RU" w:bidi="ar-SA"/>
              </w:rPr>
            </w:pPr>
            <w:r>
              <w:rPr>
                <w:color w:val="000000"/>
                <w:kern w:val="0"/>
                <w:lang w:val="ru-RU" w:bidi="ar-SA"/>
              </w:rPr>
              <w:t>практические задания № 11</w:t>
            </w:r>
          </w:p>
        </w:tc>
      </w:tr>
      <w:tr>
        <w:trPr/>
        <w:tc>
          <w:tcPr>
            <w:tcW w:w="393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sz w:val="24"/>
                <w:szCs w:val="24"/>
              </w:rPr>
            </w:pPr>
            <w:r>
              <w:rPr>
                <w:color w:val="000000"/>
                <w:kern w:val="0"/>
                <w:sz w:val="24"/>
                <w:szCs w:val="24"/>
                <w:lang w:val="ru-RU" w:bidi="ar-SA"/>
              </w:rPr>
              <w:t xml:space="preserve">ПК-7 </w:t>
            </w:r>
            <w:r>
              <w:rPr>
                <w:rFonts w:ascii="PT Serif;serif" w:hAnsi="PT Serif;serif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lang w:val="ru-RU" w:bidi="ar-SA"/>
              </w:rPr>
              <w:t>готовность к формированию у населения, пациентов и членов их семей мотивации, направленной на сохранение и укрепление своего здоровья и здоровья окружающих</w:t>
            </w:r>
            <w:r>
              <w:rPr>
                <w:color w:val="000000"/>
                <w:kern w:val="0"/>
                <w:sz w:val="24"/>
                <w:szCs w:val="24"/>
                <w:lang w:val="ru-RU" w:bidi="ar-SA"/>
              </w:rPr>
              <w:t xml:space="preserve"> </w:t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color w:val="000000"/>
                <w:kern w:val="0"/>
                <w:sz w:val="24"/>
                <w:szCs w:val="24"/>
                <w:lang w:val="ru-RU" w:bidi="ar-SA"/>
              </w:rPr>
              <w:t>Знать: ро</w:t>
            </w:r>
            <w:r>
              <w:rPr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lang w:val="ru-RU" w:bidi="ar-SA"/>
              </w:rPr>
              <w:t>ль функциональной диагностики в системе охраны здоровья населения</w:t>
            </w:r>
            <w:r>
              <w:rPr>
                <w:color w:val="000000"/>
                <w:kern w:val="0"/>
                <w:sz w:val="24"/>
                <w:szCs w:val="24"/>
                <w:lang w:val="ru-RU" w:bidi="ar-SA"/>
              </w:rPr>
              <w:t xml:space="preserve"> 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kern w:val="0"/>
                <w:lang w:val="ru-RU" w:bidi="ar-SA"/>
              </w:rPr>
            </w:pPr>
            <w:r>
              <w:rPr>
                <w:kern w:val="0"/>
                <w:lang w:val="ru-RU" w:bidi="ar-SA"/>
              </w:rPr>
              <w:t>Вопрос 28</w:t>
            </w:r>
          </w:p>
        </w:tc>
      </w:tr>
      <w:tr>
        <w:trPr/>
        <w:tc>
          <w:tcPr>
            <w:tcW w:w="393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color w:val="000000"/>
                <w:kern w:val="0"/>
                <w:sz w:val="24"/>
                <w:szCs w:val="24"/>
                <w:lang w:val="ru-RU" w:bidi="ar-SA"/>
              </w:rPr>
              <w:t>Уметь: о</w:t>
            </w:r>
            <w:r>
              <w:rPr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lang w:val="ru-RU" w:bidi="ar-SA"/>
              </w:rPr>
              <w:t xml:space="preserve">ценить результаты </w:t>
            </w:r>
            <w:r>
              <w:rPr>
                <w:rFonts w:eastAsia="Times New Roman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lang w:val="ru-RU" w:eastAsia="ru-RU" w:bidi="ar-SA"/>
              </w:rPr>
              <w:t>функциональных методов</w:t>
            </w:r>
            <w:r>
              <w:rPr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lang w:val="ru-RU" w:bidi="ar-SA"/>
              </w:rPr>
              <w:t xml:space="preserve"> исследования у детей</w:t>
            </w:r>
            <w:r>
              <w:rPr>
                <w:color w:val="000000"/>
                <w:kern w:val="0"/>
                <w:sz w:val="24"/>
                <w:szCs w:val="24"/>
                <w:lang w:val="ru-RU" w:bidi="ar-SA"/>
              </w:rPr>
              <w:t xml:space="preserve"> 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kern w:val="0"/>
                <w:lang w:val="ru-RU" w:bidi="ar-SA"/>
              </w:rPr>
            </w:pPr>
            <w:r>
              <w:rPr>
                <w:kern w:val="0"/>
                <w:lang w:val="ru-RU" w:bidi="ar-SA"/>
              </w:rPr>
              <w:t>Задание 14</w:t>
            </w:r>
          </w:p>
        </w:tc>
      </w:tr>
      <w:tr>
        <w:trPr/>
        <w:tc>
          <w:tcPr>
            <w:tcW w:w="393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4"/>
                <w:szCs w:val="24"/>
              </w:rPr>
            </w:pPr>
            <w:r>
              <w:rPr>
                <w:color w:val="000000"/>
                <w:kern w:val="0"/>
                <w:sz w:val="24"/>
                <w:szCs w:val="24"/>
                <w:lang w:val="ru-RU" w:bidi="ar-SA"/>
              </w:rPr>
              <w:t>Владеть:</w:t>
            </w:r>
            <w:r>
              <w:rPr>
                <w:kern w:val="0"/>
                <w:sz w:val="24"/>
                <w:szCs w:val="24"/>
                <w:lang w:val="ru-RU" w:bidi="ar-SA"/>
              </w:rPr>
              <w:t xml:space="preserve"> м</w:t>
            </w:r>
            <w:r>
              <w:rPr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lang w:val="ru-RU" w:bidi="ar-SA"/>
              </w:rPr>
              <w:t>етодикой оценки риска здоровья детей на основе заключения функциональных методов  исследования</w:t>
            </w:r>
            <w:r>
              <w:rPr>
                <w:color w:val="000000"/>
                <w:kern w:val="0"/>
                <w:sz w:val="24"/>
                <w:szCs w:val="24"/>
                <w:lang w:val="ru-RU" w:bidi="ar-SA"/>
              </w:rPr>
              <w:t xml:space="preserve"> 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kern w:val="0"/>
                <w:lang w:val="ru-RU" w:bidi="ar-SA"/>
              </w:rPr>
            </w:pPr>
            <w:r>
              <w:rPr>
                <w:kern w:val="0"/>
                <w:lang w:val="ru-RU" w:bidi="ar-SA"/>
              </w:rPr>
              <w:t>Задание 14</w:t>
            </w:r>
          </w:p>
        </w:tc>
      </w:tr>
      <w:tr>
        <w:trPr/>
        <w:tc>
          <w:tcPr>
            <w:tcW w:w="393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restart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 xml:space="preserve">ПК -8 </w:t>
            </w:r>
            <w:r>
              <w:rPr>
                <w:color w:val="000000"/>
                <w:kern w:val="0"/>
                <w:sz w:val="24"/>
                <w:szCs w:val="24"/>
                <w:lang w:val="ru-RU" w:bidi="ar-SA"/>
              </w:rPr>
              <w:tab/>
            </w:r>
            <w:r>
              <w:rPr>
                <w:rFonts w:ascii="PT Serif;serif" w:hAnsi="PT Serif;serif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lang w:val="ru-RU" w:bidi="ar-SA"/>
              </w:rPr>
              <w:t>готовность к применению основных принципов организации и управления в сфере охраны здоровья граждан, в медицинских организациях и их</w:t>
            </w:r>
            <w:r>
              <w:rPr>
                <w:rFonts w:ascii="PT Serif;serif" w:hAnsi="PT Serif;serif"/>
                <w:b w:val="false"/>
                <w:i w:val="false"/>
                <w:caps w:val="false"/>
                <w:smallCaps w:val="false"/>
                <w:color w:val="464C55"/>
                <w:spacing w:val="0"/>
                <w:kern w:val="0"/>
                <w:sz w:val="27"/>
                <w:lang w:val="ru-RU" w:bidi="ar-SA"/>
              </w:rPr>
              <w:t xml:space="preserve"> </w:t>
            </w:r>
            <w:r>
              <w:rPr>
                <w:rFonts w:ascii="PT Serif;serif" w:hAnsi="PT Serif;serif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lang w:val="ru-RU" w:bidi="ar-SA"/>
              </w:rPr>
              <w:t>структурных подразделениях</w:t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Знать: маршрутизацию пациентов при выявлении отклонений в состоянии здоровья при проведении различных функциональных методов исследования.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kern w:val="0"/>
                <w:lang w:val="ru-RU" w:bidi="ar-SA"/>
              </w:rPr>
            </w:pPr>
            <w:r>
              <w:rPr>
                <w:kern w:val="0"/>
                <w:lang w:val="ru-RU" w:bidi="ar-SA"/>
              </w:rPr>
              <w:t>Вопрос 29</w:t>
            </w:r>
          </w:p>
        </w:tc>
      </w:tr>
      <w:tr>
        <w:trPr/>
        <w:tc>
          <w:tcPr>
            <w:tcW w:w="393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Уметь:</w:t>
            </w:r>
            <w:r>
              <w:rPr>
                <w:kern w:val="0"/>
                <w:lang w:val="ru-RU" w:bidi="ar-SA"/>
              </w:rPr>
              <w:t xml:space="preserve"> </w:t>
            </w:r>
            <w:r>
              <w:rPr>
                <w:color w:val="000000"/>
                <w:kern w:val="0"/>
                <w:lang w:val="ru-RU" w:bidi="ar-SA"/>
              </w:rPr>
              <w:t>использовать информацию о состоянии здоровья населения и деятельности лечебно-профилактических учреждений для предложения мероприятий при разработке и реализации программ и проектов, направленных на улучшение здоровья населения на основе прогнозирования и научной превенции.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kern w:val="0"/>
                <w:lang w:val="ru-RU" w:bidi="ar-SA"/>
              </w:rPr>
            </w:pPr>
            <w:r>
              <w:rPr>
                <w:kern w:val="0"/>
                <w:lang w:val="ru-RU" w:bidi="ar-SA"/>
              </w:rPr>
              <w:t>Задание15</w:t>
            </w:r>
          </w:p>
        </w:tc>
      </w:tr>
      <w:tr>
        <w:trPr/>
        <w:tc>
          <w:tcPr>
            <w:tcW w:w="393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Владеть:</w:t>
            </w:r>
            <w:r>
              <w:rPr>
                <w:kern w:val="0"/>
                <w:lang w:val="ru-RU" w:bidi="ar-SA"/>
              </w:rPr>
              <w:t xml:space="preserve"> </w:t>
            </w:r>
            <w:r>
              <w:rPr>
                <w:color w:val="000000"/>
                <w:kern w:val="0"/>
                <w:lang w:val="ru-RU" w:bidi="ar-SA"/>
              </w:rPr>
              <w:t>методами вычисления и анализа основных показателей здоровья населения на индивидуальном и групповом уровнях, по данным заболеваемости.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kern w:val="0"/>
                <w:lang w:val="ru-RU" w:bidi="ar-SA"/>
              </w:rPr>
            </w:pPr>
            <w:r>
              <w:rPr>
                <w:kern w:val="0"/>
                <w:lang w:val="ru-RU" w:bidi="ar-SA"/>
              </w:rPr>
              <w:t>Задание 15</w:t>
            </w:r>
          </w:p>
        </w:tc>
      </w:tr>
      <w:tr>
        <w:trPr/>
        <w:tc>
          <w:tcPr>
            <w:tcW w:w="393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restart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kern w:val="0"/>
                <w:sz w:val="24"/>
                <w:szCs w:val="24"/>
                <w:lang w:val="ru-RU" w:bidi="ar-SA"/>
              </w:rPr>
              <w:t xml:space="preserve">ПК-9 </w:t>
            </w:r>
            <w:r>
              <w:rPr>
                <w:rFonts w:ascii="PT Serif;serif" w:hAnsi="PT Serif;serif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lang w:val="ru-RU" w:bidi="ar-SA"/>
              </w:rPr>
              <w:t>готовность к участию в оценке качества оказания медицинской помощи с использованием основных медико-статистических показателей</w:t>
            </w:r>
            <w:r>
              <w:rPr>
                <w:color w:val="000000"/>
                <w:kern w:val="0"/>
                <w:sz w:val="24"/>
                <w:szCs w:val="24"/>
                <w:lang w:val="ru-RU" w:bidi="ar-SA"/>
              </w:rPr>
              <w:t xml:space="preserve"> </w:t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Знать:</w:t>
            </w:r>
            <w:r>
              <w:rPr>
                <w:kern w:val="0"/>
                <w:lang w:val="ru-RU" w:bidi="ar-SA"/>
              </w:rPr>
              <w:t xml:space="preserve"> </w:t>
            </w:r>
            <w:r>
              <w:rPr>
                <w:color w:val="000000"/>
                <w:kern w:val="0"/>
                <w:lang w:val="ru-RU" w:bidi="ar-SA"/>
              </w:rPr>
              <w:t>вопросы организации медицинской помощи населению; -организацию экспертизы качества медицинской помощи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kern w:val="0"/>
                <w:lang w:val="ru-RU" w:bidi="ar-SA"/>
              </w:rPr>
            </w:pPr>
            <w:r>
              <w:rPr>
                <w:kern w:val="0"/>
                <w:lang w:val="ru-RU" w:bidi="ar-SA"/>
              </w:rPr>
              <w:t>Вопрос 30</w:t>
            </w:r>
          </w:p>
        </w:tc>
      </w:tr>
      <w:tr>
        <w:trPr/>
        <w:tc>
          <w:tcPr>
            <w:tcW w:w="393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Уметь:</w:t>
            </w:r>
            <w:r>
              <w:rPr>
                <w:kern w:val="0"/>
                <w:lang w:val="ru-RU" w:bidi="ar-SA"/>
              </w:rPr>
              <w:t xml:space="preserve"> </w:t>
            </w:r>
            <w:r>
              <w:rPr>
                <w:color w:val="000000"/>
                <w:kern w:val="0"/>
                <w:lang w:val="ru-RU" w:bidi="ar-SA"/>
              </w:rPr>
              <w:t>анализировать деятельность (организацию, качество и эффективность) организаций здравоохранения в частности результатов исследований.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kern w:val="0"/>
                <w:lang w:val="ru-RU" w:bidi="ar-SA"/>
              </w:rPr>
            </w:pPr>
            <w:r>
              <w:rPr>
                <w:kern w:val="0"/>
                <w:lang w:val="ru-RU" w:bidi="ar-SA"/>
              </w:rPr>
              <w:t>Задание16</w:t>
            </w:r>
            <w:bookmarkStart w:id="4" w:name="_GoBack"/>
            <w:bookmarkEnd w:id="4"/>
          </w:p>
        </w:tc>
      </w:tr>
      <w:tr>
        <w:trPr/>
        <w:tc>
          <w:tcPr>
            <w:tcW w:w="393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Владеть:</w:t>
            </w:r>
            <w:r>
              <w:rPr>
                <w:kern w:val="0"/>
                <w:lang w:val="ru-RU" w:bidi="ar-SA"/>
              </w:rPr>
              <w:t xml:space="preserve"> </w:t>
            </w:r>
            <w:r>
              <w:rPr>
                <w:color w:val="000000"/>
                <w:kern w:val="0"/>
                <w:lang w:val="ru-RU" w:bidi="ar-SA"/>
              </w:rPr>
              <w:t>методами расчета и анализа основных демографических показателей, используемых учреждениями здравоохранения для оценки здоровья населения, планирования деятельности медицинских учреждений.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kern w:val="0"/>
                <w:lang w:val="ru-RU" w:bidi="ar-SA"/>
              </w:rPr>
            </w:pPr>
            <w:r>
              <w:rPr>
                <w:kern w:val="0"/>
                <w:lang w:val="ru-RU" w:bidi="ar-SA"/>
              </w:rPr>
              <w:t>Задание 16</w:t>
            </w:r>
          </w:p>
        </w:tc>
      </w:tr>
      <w:tr>
        <w:trPr/>
        <w:tc>
          <w:tcPr>
            <w:tcW w:w="393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restart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kern w:val="0"/>
                <w:sz w:val="24"/>
                <w:szCs w:val="24"/>
                <w:lang w:val="ru-RU" w:bidi="ar-SA"/>
              </w:rPr>
              <w:t xml:space="preserve">ПК-10 </w:t>
            </w:r>
            <w:r>
              <w:rPr>
                <w:rFonts w:ascii="PT Serif;serif" w:hAnsi="PT Serif;serif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lang w:val="ru-RU" w:bidi="ar-SA"/>
              </w:rPr>
              <w:t>готовность к организации медицинской помощи при чрезвычайных ситуациях, в том числе медицинской эвакуации</w:t>
            </w:r>
            <w:r>
              <w:rPr>
                <w:color w:val="000000"/>
                <w:kern w:val="0"/>
                <w:sz w:val="24"/>
                <w:szCs w:val="24"/>
                <w:lang w:val="ru-RU" w:bidi="ar-SA"/>
              </w:rPr>
              <w:t xml:space="preserve"> </w:t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Знать: принципы проведения лечебно-эвакуационных мероприятий в условиях чрезвычайной ситуации, в экстремальных условиях эпидемий, в очагах пожара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kern w:val="0"/>
                <w:lang w:val="ru-RU" w:bidi="ar-SA"/>
              </w:rPr>
            </w:pPr>
            <w:r>
              <w:rPr>
                <w:kern w:val="0"/>
                <w:lang w:val="ru-RU" w:bidi="ar-SA"/>
              </w:rPr>
              <w:t>Вопрос 31</w:t>
            </w:r>
          </w:p>
        </w:tc>
      </w:tr>
      <w:tr>
        <w:trPr/>
        <w:tc>
          <w:tcPr>
            <w:tcW w:w="393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Уметь: оказывать первую врачебную помощь в чрезвычайных ситуациях.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kern w:val="0"/>
                <w:lang w:val="ru-RU" w:bidi="ar-SA"/>
              </w:rPr>
            </w:pPr>
            <w:r>
              <w:rPr>
                <w:kern w:val="0"/>
                <w:lang w:val="ru-RU" w:bidi="ar-SA"/>
              </w:rPr>
              <w:t>Задание17</w:t>
            </w:r>
          </w:p>
        </w:tc>
      </w:tr>
      <w:tr>
        <w:trPr/>
        <w:tc>
          <w:tcPr>
            <w:tcW w:w="393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2411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4963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color w:val="000000"/>
              </w:rPr>
            </w:pPr>
            <w:r>
              <w:rPr>
                <w:color w:val="000000"/>
                <w:kern w:val="0"/>
                <w:lang w:val="ru-RU" w:bidi="ar-SA"/>
              </w:rPr>
              <w:t>Владеть: алгоритмами оказания первой врачебной помощи пострадавшим при чрезвычайной ситуации</w:t>
            </w:r>
          </w:p>
        </w:tc>
        <w:tc>
          <w:tcPr>
            <w:tcW w:w="223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both"/>
              <w:rPr>
                <w:kern w:val="0"/>
                <w:lang w:val="ru-RU" w:bidi="ar-SA"/>
              </w:rPr>
            </w:pPr>
            <w:r>
              <w:rPr>
                <w:kern w:val="0"/>
                <w:lang w:val="ru-RU" w:bidi="ar-SA"/>
              </w:rPr>
              <w:t>Задание 17</w:t>
            </w:r>
          </w:p>
        </w:tc>
      </w:tr>
    </w:tbl>
    <w:p>
      <w:pPr>
        <w:pStyle w:val="Normal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both"/>
        <w:rPr>
          <w:color w:val="000000"/>
        </w:rPr>
      </w:pPr>
      <w:r>
        <w:rPr/>
      </w:r>
    </w:p>
    <w:sectPr>
      <w:footerReference w:type="default" r:id="rId39"/>
      <w:type w:val="nextPage"/>
      <w:pgSz w:w="11906" w:h="16838"/>
      <w:pgMar w:left="1134" w:right="567" w:header="0" w:top="567" w:footer="709" w:bottom="766" w:gutter="0"/>
      <w:pgNumType w:fmt="decimal"/>
      <w:formProt w:val="false"/>
      <w:titlePg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imes New Roman">
    <w:charset w:val="cc"/>
    <w:family w:val="roman"/>
    <w:pitch w:val="variable"/>
  </w:font>
  <w:font w:name="Calibri Light">
    <w:charset w:val="cc"/>
    <w:family w:val="roman"/>
    <w:pitch w:val="variable"/>
  </w:font>
  <w:font w:name="Segoe UI">
    <w:charset w:val="cc"/>
    <w:family w:val="roman"/>
    <w:pitch w:val="variable"/>
  </w:font>
  <w:font w:name="NTTimes/Cyrillic">
    <w:charset w:val="cc"/>
    <w:family w:val="roman"/>
    <w:pitch w:val="variable"/>
  </w:font>
  <w:font w:name="Consolas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Verdana">
    <w:charset w:val="cc"/>
    <w:family w:val="roman"/>
    <w:pitch w:val="variable"/>
  </w:font>
  <w:font w:name="Arial">
    <w:charset w:val="cc"/>
    <w:family w:val="roman"/>
    <w:pitch w:val="variable"/>
  </w:font>
  <w:font w:name="PT Serif">
    <w:altName w:val="serif"/>
    <w:charset w:val="cc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sdt>
    <w:sdtPr>
      <w:docPartObj>
        <w:docPartGallery w:val="Page Numbers (Bottom of Page)"/>
        <w:docPartUnique w:val="true"/>
      </w:docPartObj>
      <w:id w:val="152022230"/>
    </w:sdtPr>
    <w:sdtContent>
      <w:p>
        <w:pPr>
          <w:pStyle w:val="Style26"/>
          <w:jc w:val="right"/>
          <w:rPr/>
        </w:pPr>
        <w:r>
          <w:rPr/>
          <w:fldChar w:fldCharType="begin"/>
        </w:r>
        <w:r>
          <w:rPr/>
          <w:instrText> PAGE </w:instrText>
        </w:r>
        <w:r>
          <w:rPr/>
          <w:fldChar w:fldCharType="separate"/>
        </w:r>
        <w:r>
          <w:rPr/>
          <w:t>0</w:t>
        </w:r>
        <w:r>
          <w:rPr/>
          <w:fldChar w:fldCharType="end"/>
        </w:r>
      </w:p>
    </w:sdtContent>
  </w:sdt>
  <w:p>
    <w:pPr>
      <w:pStyle w:val="Style26"/>
      <w:rPr/>
    </w:pPr>
    <w:r>
      <w:rPr/>
    </w:r>
  </w:p>
</w:ft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 w:val="false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sz w:val="24"/>
        <w:szCs w:val="24"/>
        <w:color w:val="00000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4">
    <w:lvl w:ilvl="0">
      <w:start w:val="1"/>
      <w:numFmt w:val="decimal"/>
      <w:lvlText w:val="%1."/>
      <w:lvlJc w:val="left"/>
      <w:pPr>
        <w:tabs>
          <w:tab w:val="num" w:pos="0"/>
        </w:tabs>
        <w:ind w:left="1065" w:hanging="705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"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6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7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8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9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0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1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2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3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4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5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6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7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8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9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0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1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2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3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4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5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6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7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8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9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30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31"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32"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33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  <w:num w:numId="22">
    <w:abstractNumId w:val="22"/>
  </w:num>
  <w:num w:numId="23">
    <w:abstractNumId w:val="23"/>
  </w:num>
  <w:num w:numId="24">
    <w:abstractNumId w:val="24"/>
  </w:num>
  <w:num w:numId="25">
    <w:abstractNumId w:val="25"/>
  </w:num>
  <w:num w:numId="26">
    <w:abstractNumId w:val="26"/>
  </w:num>
  <w:num w:numId="27">
    <w:abstractNumId w:val="27"/>
  </w:num>
  <w:num w:numId="28">
    <w:abstractNumId w:val="28"/>
  </w:num>
  <w:num w:numId="29">
    <w:abstractNumId w:val="29"/>
  </w:num>
  <w:num w:numId="30">
    <w:abstractNumId w:val="30"/>
  </w:num>
  <w:num w:numId="31">
    <w:abstractNumId w:val="31"/>
  </w:num>
  <w:num w:numId="32">
    <w:abstractNumId w:val="32"/>
  </w:num>
  <w:num w:numId="33">
    <w:abstractNumId w:val="33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uiPriority="0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5968cc"/>
    <w:pPr>
      <w:widowControl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ru-RU" w:eastAsia="ru-RU" w:bidi="ar-SA"/>
    </w:rPr>
  </w:style>
  <w:style w:type="paragraph" w:styleId="1">
    <w:name w:val="Heading 1"/>
    <w:basedOn w:val="Normal"/>
    <w:next w:val="Normal"/>
    <w:link w:val="10"/>
    <w:uiPriority w:val="9"/>
    <w:qFormat/>
    <w:rsid w:val="007e7400"/>
    <w:pPr>
      <w:keepNext w:val="true"/>
      <w:keepLines/>
      <w:spacing w:before="240" w:after="0"/>
      <w:outlineLvl w:val="0"/>
    </w:pPr>
    <w:rPr>
      <w:rFonts w:ascii="Calibri Light" w:hAnsi="Calibri Light" w:eastAsia="" w:cs="" w:asciiTheme="majorHAnsi" w:cstheme="majorBidi" w:eastAsiaTheme="majorEastAsia" w:hAnsiTheme="majorHAnsi"/>
      <w:color w:val="2E74B5" w:themeColor="accent1" w:themeShade="bf"/>
      <w:sz w:val="32"/>
      <w:szCs w:val="32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11" w:customStyle="1">
    <w:name w:val="Заголовок 1 Знак"/>
    <w:basedOn w:val="DefaultParagraphFont"/>
    <w:link w:val="1"/>
    <w:uiPriority w:val="9"/>
    <w:qFormat/>
    <w:rsid w:val="007e7400"/>
    <w:rPr>
      <w:rFonts w:ascii="Calibri Light" w:hAnsi="Calibri Light" w:eastAsia="" w:cs="" w:asciiTheme="majorHAnsi" w:cstheme="majorBidi" w:eastAsiaTheme="majorEastAsia" w:hAnsiTheme="majorHAnsi"/>
      <w:color w:val="2E74B5" w:themeColor="accent1" w:themeShade="bf"/>
      <w:sz w:val="32"/>
      <w:szCs w:val="32"/>
      <w:lang w:eastAsia="ru-RU"/>
    </w:rPr>
  </w:style>
  <w:style w:type="character" w:styleId="Style13">
    <w:name w:val="Интернет-ссылка"/>
    <w:basedOn w:val="DefaultParagraphFont"/>
    <w:uiPriority w:val="99"/>
    <w:unhideWhenUsed/>
    <w:rsid w:val="007e7400"/>
    <w:rPr>
      <w:color w:val="0563C1" w:themeColor="hyperlink"/>
      <w:u w:val="single"/>
    </w:rPr>
  </w:style>
  <w:style w:type="character" w:styleId="Style14" w:customStyle="1">
    <w:name w:val="Верхний колонтитул Знак"/>
    <w:basedOn w:val="DefaultParagraphFont"/>
    <w:link w:val="a8"/>
    <w:uiPriority w:val="99"/>
    <w:qFormat/>
    <w:rsid w:val="007e7400"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Style15" w:customStyle="1">
    <w:name w:val="Нижний колонтитул Знак"/>
    <w:basedOn w:val="DefaultParagraphFont"/>
    <w:link w:val="aa"/>
    <w:uiPriority w:val="99"/>
    <w:qFormat/>
    <w:rsid w:val="007e7400"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Style16" w:customStyle="1">
    <w:name w:val="Текст выноски Знак"/>
    <w:basedOn w:val="DefaultParagraphFont"/>
    <w:link w:val="ac"/>
    <w:uiPriority w:val="99"/>
    <w:semiHidden/>
    <w:qFormat/>
    <w:rsid w:val="002f7b4a"/>
    <w:rPr>
      <w:rFonts w:ascii="Segoe UI" w:hAnsi="Segoe UI" w:eastAsia="Times New Roman" w:cs="Segoe UI"/>
      <w:sz w:val="18"/>
      <w:szCs w:val="18"/>
      <w:lang w:eastAsia="ru-RU"/>
    </w:rPr>
  </w:style>
  <w:style w:type="character" w:styleId="Style17" w:customStyle="1">
    <w:name w:val="Основной текст Знак"/>
    <w:basedOn w:val="DefaultParagraphFont"/>
    <w:link w:val="af"/>
    <w:uiPriority w:val="99"/>
    <w:qFormat/>
    <w:rsid w:val="003d5f5a"/>
    <w:rPr>
      <w:rFonts w:ascii="NTTimes/Cyrillic" w:hAnsi="NTTimes/Cyrillic" w:eastAsia="Times New Roman" w:cs="Times New Roman"/>
      <w:sz w:val="20"/>
      <w:szCs w:val="20"/>
      <w:lang w:eastAsia="ru-RU"/>
    </w:rPr>
  </w:style>
  <w:style w:type="character" w:styleId="2" w:customStyle="1">
    <w:name w:val="Основной текст с отступом 2 Знак"/>
    <w:basedOn w:val="DefaultParagraphFont"/>
    <w:link w:val="2"/>
    <w:qFormat/>
    <w:rsid w:val="003d5f5a"/>
    <w:rPr>
      <w:rFonts w:ascii="Times New Roman" w:hAnsi="Times New Roman" w:eastAsia="Times New Roman" w:cs="Times New Roman"/>
      <w:sz w:val="28"/>
      <w:szCs w:val="20"/>
      <w:lang w:eastAsia="ru-RU"/>
    </w:rPr>
  </w:style>
  <w:style w:type="character" w:styleId="Style18" w:customStyle="1">
    <w:name w:val="Текст Знак"/>
    <w:basedOn w:val="DefaultParagraphFont"/>
    <w:link w:val="af1"/>
    <w:uiPriority w:val="99"/>
    <w:qFormat/>
    <w:rsid w:val="00414433"/>
    <w:rPr>
      <w:rFonts w:ascii="Consolas" w:hAnsi="Consolas" w:eastAsia="Calibri" w:cs="Times New Roman"/>
      <w:sz w:val="21"/>
      <w:szCs w:val="21"/>
    </w:rPr>
  </w:style>
  <w:style w:type="character" w:styleId="Appleconvertedspace" w:customStyle="1">
    <w:name w:val="apple-converted-space"/>
    <w:basedOn w:val="DefaultParagraphFont"/>
    <w:qFormat/>
    <w:rsid w:val="00cc1a67"/>
    <w:rPr/>
  </w:style>
  <w:style w:type="paragraph" w:styleId="Style19">
    <w:name w:val="Заголовок"/>
    <w:basedOn w:val="Normal"/>
    <w:next w:val="Style20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20">
    <w:name w:val="Body Text"/>
    <w:basedOn w:val="Normal"/>
    <w:link w:val="af0"/>
    <w:uiPriority w:val="99"/>
    <w:rsid w:val="003d5f5a"/>
    <w:pPr>
      <w:overflowPunct w:val="false"/>
      <w:spacing w:before="0" w:after="120"/>
      <w:textAlignment w:val="baseline"/>
    </w:pPr>
    <w:rPr>
      <w:rFonts w:ascii="NTTimes/Cyrillic" w:hAnsi="NTTimes/Cyrillic"/>
      <w:sz w:val="20"/>
      <w:szCs w:val="20"/>
    </w:rPr>
  </w:style>
  <w:style w:type="paragraph" w:styleId="Style21">
    <w:name w:val="List"/>
    <w:basedOn w:val="Style20"/>
    <w:pPr/>
    <w:rPr>
      <w:rFonts w:cs="Lucida Sans"/>
    </w:rPr>
  </w:style>
  <w:style w:type="paragraph" w:styleId="Style22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23">
    <w:name w:val="Указатель"/>
    <w:basedOn w:val="Normal"/>
    <w:qFormat/>
    <w:pPr>
      <w:suppressLineNumbers/>
    </w:pPr>
    <w:rPr>
      <w:rFonts w:cs="Lucida Sans"/>
    </w:rPr>
  </w:style>
  <w:style w:type="paragraph" w:styleId="NormalWeb">
    <w:name w:val="Normal (Web)"/>
    <w:basedOn w:val="Normal"/>
    <w:uiPriority w:val="99"/>
    <w:qFormat/>
    <w:rsid w:val="007e7400"/>
    <w:pPr>
      <w:spacing w:beforeAutospacing="1" w:afterAutospacing="1"/>
      <w:jc w:val="both"/>
    </w:pPr>
    <w:rPr>
      <w:rFonts w:ascii="Verdana" w:hAnsi="Verdana"/>
      <w:sz w:val="17"/>
      <w:szCs w:val="17"/>
    </w:rPr>
  </w:style>
  <w:style w:type="paragraph" w:styleId="ListParagraph">
    <w:name w:val="List Paragraph"/>
    <w:basedOn w:val="Normal"/>
    <w:uiPriority w:val="34"/>
    <w:qFormat/>
    <w:rsid w:val="007e7400"/>
    <w:pPr>
      <w:widowControl w:val="false"/>
      <w:spacing w:before="0" w:after="0"/>
      <w:ind w:left="720" w:firstLine="720"/>
      <w:contextualSpacing/>
      <w:jc w:val="both"/>
    </w:pPr>
    <w:rPr>
      <w:rFonts w:ascii="Arial" w:hAnsi="Arial"/>
      <w:sz w:val="20"/>
      <w:szCs w:val="20"/>
    </w:rPr>
  </w:style>
  <w:style w:type="paragraph" w:styleId="TOCHeading">
    <w:name w:val="TOC Heading"/>
    <w:basedOn w:val="1"/>
    <w:next w:val="Normal"/>
    <w:uiPriority w:val="39"/>
    <w:unhideWhenUsed/>
    <w:qFormat/>
    <w:rsid w:val="007e7400"/>
    <w:pPr>
      <w:spacing w:lineRule="auto" w:line="259"/>
    </w:pPr>
    <w:rPr/>
  </w:style>
  <w:style w:type="paragraph" w:styleId="12">
    <w:name w:val="TOC 1"/>
    <w:basedOn w:val="Normal"/>
    <w:next w:val="Normal"/>
    <w:autoRedefine/>
    <w:uiPriority w:val="39"/>
    <w:unhideWhenUsed/>
    <w:rsid w:val="007e7400"/>
    <w:pPr>
      <w:spacing w:before="0" w:after="100"/>
    </w:pPr>
    <w:rPr/>
  </w:style>
  <w:style w:type="paragraph" w:styleId="Style24">
    <w:name w:val="Верхний и нижний колонтитулы"/>
    <w:basedOn w:val="Normal"/>
    <w:qFormat/>
    <w:pPr/>
    <w:rPr/>
  </w:style>
  <w:style w:type="paragraph" w:styleId="Style25">
    <w:name w:val="Header"/>
    <w:basedOn w:val="Normal"/>
    <w:link w:val="a9"/>
    <w:uiPriority w:val="99"/>
    <w:unhideWhenUsed/>
    <w:rsid w:val="007e7400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Style26">
    <w:name w:val="Footer"/>
    <w:basedOn w:val="Normal"/>
    <w:link w:val="ab"/>
    <w:uiPriority w:val="99"/>
    <w:unhideWhenUsed/>
    <w:rsid w:val="007e7400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BalloonText">
    <w:name w:val="Balloon Text"/>
    <w:basedOn w:val="Normal"/>
    <w:link w:val="ad"/>
    <w:uiPriority w:val="99"/>
    <w:semiHidden/>
    <w:unhideWhenUsed/>
    <w:qFormat/>
    <w:rsid w:val="002f7b4a"/>
    <w:pPr/>
    <w:rPr>
      <w:rFonts w:ascii="Segoe UI" w:hAnsi="Segoe UI" w:cs="Segoe UI"/>
      <w:sz w:val="18"/>
      <w:szCs w:val="18"/>
    </w:rPr>
  </w:style>
  <w:style w:type="paragraph" w:styleId="NoSpacing">
    <w:name w:val="No Spacing"/>
    <w:uiPriority w:val="1"/>
    <w:qFormat/>
    <w:rsid w:val="004a502d"/>
    <w:pPr>
      <w:widowControl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ru-RU" w:eastAsia="ru-RU" w:bidi="ar-SA"/>
    </w:rPr>
  </w:style>
  <w:style w:type="paragraph" w:styleId="BodyTextIndent2">
    <w:name w:val="Body Text Indent 2"/>
    <w:basedOn w:val="Normal"/>
    <w:link w:val="20"/>
    <w:qFormat/>
    <w:rsid w:val="003d5f5a"/>
    <w:pPr>
      <w:spacing w:lineRule="auto" w:line="360"/>
      <w:ind w:left="284" w:hanging="0"/>
    </w:pPr>
    <w:rPr>
      <w:sz w:val="28"/>
      <w:szCs w:val="20"/>
    </w:rPr>
  </w:style>
  <w:style w:type="paragraph" w:styleId="PlainText">
    <w:name w:val="Plain Text"/>
    <w:basedOn w:val="Normal"/>
    <w:link w:val="af2"/>
    <w:uiPriority w:val="99"/>
    <w:unhideWhenUsed/>
    <w:qFormat/>
    <w:rsid w:val="00414433"/>
    <w:pPr/>
    <w:rPr>
      <w:rFonts w:ascii="Consolas" w:hAnsi="Consolas" w:eastAsia="Calibri"/>
      <w:sz w:val="21"/>
      <w:szCs w:val="21"/>
      <w:lang w:eastAsia="en-US"/>
    </w:rPr>
  </w:style>
  <w:style w:type="paragraph" w:styleId="Style27">
    <w:name w:val="Содержимое таблицы"/>
    <w:basedOn w:val="Normal"/>
    <w:qFormat/>
    <w:pPr>
      <w:widowControl w:val="false"/>
      <w:suppressLineNumbers/>
    </w:pPr>
    <w:rPr/>
  </w:style>
  <w:style w:type="paragraph" w:styleId="Style28">
    <w:name w:val="Заголовок таблицы"/>
    <w:basedOn w:val="Style27"/>
    <w:qFormat/>
    <w:pPr>
      <w:suppressLineNumbers/>
      <w:jc w:val="center"/>
    </w:pPr>
    <w:rPr>
      <w:b/>
      <w:bCs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rsid w:val="007e7400"/>
    <w:pPr>
      <w:spacing w:after="0" w:line="240" w:lineRule="auto"/>
    </w:pPr>
    <w:rPr>
      <w:lang w:eastAsia="ru-RU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wmf"/><Relationship Id="rId22" Type="http://schemas.openxmlformats.org/officeDocument/2006/relationships/image" Target="media/image21.wmf"/><Relationship Id="rId23" Type="http://schemas.openxmlformats.org/officeDocument/2006/relationships/image" Target="media/image22.wmf"/><Relationship Id="rId24" Type="http://schemas.openxmlformats.org/officeDocument/2006/relationships/image" Target="media/image23.wmf"/><Relationship Id="rId25" Type="http://schemas.openxmlformats.org/officeDocument/2006/relationships/image" Target="media/image24.wmf"/><Relationship Id="rId26" Type="http://schemas.openxmlformats.org/officeDocument/2006/relationships/image" Target="media/image25.wmf"/><Relationship Id="rId27" Type="http://schemas.openxmlformats.org/officeDocument/2006/relationships/image" Target="media/image26.wmf"/><Relationship Id="rId28" Type="http://schemas.openxmlformats.org/officeDocument/2006/relationships/image" Target="media/image27.wmf"/><Relationship Id="rId29" Type="http://schemas.openxmlformats.org/officeDocument/2006/relationships/image" Target="media/image28.wmf"/><Relationship Id="rId30" Type="http://schemas.openxmlformats.org/officeDocument/2006/relationships/image" Target="media/image29.wmf"/><Relationship Id="rId31" Type="http://schemas.openxmlformats.org/officeDocument/2006/relationships/image" Target="media/image30.wmf"/><Relationship Id="rId32" Type="http://schemas.openxmlformats.org/officeDocument/2006/relationships/image" Target="media/image31.wmf"/><Relationship Id="rId33" Type="http://schemas.openxmlformats.org/officeDocument/2006/relationships/image" Target="media/image32.wmf"/><Relationship Id="rId34" Type="http://schemas.openxmlformats.org/officeDocument/2006/relationships/image" Target="media/image33.wmf"/><Relationship Id="rId35" Type="http://schemas.openxmlformats.org/officeDocument/2006/relationships/image" Target="media/image34.wmf"/><Relationship Id="rId36" Type="http://schemas.openxmlformats.org/officeDocument/2006/relationships/image" Target="media/image35.wmf"/><Relationship Id="rId37" Type="http://schemas.openxmlformats.org/officeDocument/2006/relationships/image" Target="media/image36.wmf"/><Relationship Id="rId38" Type="http://schemas.openxmlformats.org/officeDocument/2006/relationships/image" Target="media/image37.wmf"/><Relationship Id="rId39" Type="http://schemas.openxmlformats.org/officeDocument/2006/relationships/footer" Target="footer1.xml"/><Relationship Id="rId40" Type="http://schemas.openxmlformats.org/officeDocument/2006/relationships/numbering" Target="numbering.xml"/><Relationship Id="rId41" Type="http://schemas.openxmlformats.org/officeDocument/2006/relationships/fontTable" Target="fontTable.xml"/><Relationship Id="rId42" Type="http://schemas.openxmlformats.org/officeDocument/2006/relationships/settings" Target="settings.xml"/><Relationship Id="rId43" Type="http://schemas.openxmlformats.org/officeDocument/2006/relationships/theme" Target="theme/theme1.xml"/><Relationship Id="rId44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052753-7971-4322-B13B-4616F9A15B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Application>LibreOffice/7.0.1.2$Windows_x86 LibreOffice_project/7cbcfc562f6eb6708b5ff7d7397325de9e764452</Application>
  <Pages>45</Pages>
  <Words>6996</Words>
  <Characters>46124</Characters>
  <CharactersWithSpaces>53962</CharactersWithSpaces>
  <Paragraphs>1165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2019-12-26T08:02:00Z</dcterms:created>
  <dc:creator>home</dc:creator>
  <dc:description/>
  <dc:language>ru-RU</dc:language>
  <cp:lastModifiedBy/>
  <cp:lastPrinted>2019-01-16T06:19:00Z</cp:lastPrinted>
  <dcterms:modified xsi:type="dcterms:W3CDTF">2022-02-09T01:32:32Z</dcterms:modified>
  <cp:revision>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